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both"/>
        <w:rPr>
          <w:rFonts w:ascii="Verdana" w:hAnsi="Verdana" w:cs="Times New Roman"/>
          <w:b/>
          <w:b/>
          <w:sz w:val="18"/>
          <w:szCs w:val="18"/>
          <w:lang w:val="pl-PL"/>
        </w:rPr>
      </w:pPr>
      <w:r>
        <w:rPr>
          <w:rFonts w:cs="Times New Roman" w:ascii="Verdana" w:hAnsi="Verdana"/>
          <w:b/>
          <w:sz w:val="18"/>
          <w:szCs w:val="18"/>
          <w:lang w:val="pl-PL"/>
        </w:rPr>
      </w:r>
    </w:p>
    <w:p>
      <w:pPr>
        <w:pStyle w:val="Normal"/>
        <w:spacing w:lineRule="auto" w:line="240" w:before="0" w:after="0"/>
        <w:jc w:val="both"/>
        <w:rPr>
          <w:lang w:val="pl-PL"/>
        </w:rPr>
      </w:pPr>
      <w:r>
        <w:rPr>
          <w:rFonts w:cs="Times New Roman" w:ascii="Verdana" w:hAnsi="Verdana"/>
          <w:b/>
          <w:sz w:val="18"/>
          <w:szCs w:val="18"/>
          <w:lang w:val="pl-PL"/>
        </w:rPr>
        <w:t>DODATKOWE INFORMACJE I OBJAŚNIENIA za 2021 rok</w:t>
      </w:r>
    </w:p>
    <w:p>
      <w:pPr>
        <w:pStyle w:val="Normal"/>
        <w:spacing w:lineRule="auto" w:line="240" w:before="0" w:after="0"/>
        <w:jc w:val="both"/>
        <w:rPr>
          <w:rFonts w:ascii="Verdana" w:hAnsi="Verdana" w:cs="Times New Roman"/>
          <w:b/>
          <w:b/>
          <w:bCs/>
          <w:sz w:val="18"/>
          <w:szCs w:val="18"/>
          <w:lang w:val="pl-PL"/>
        </w:rPr>
      </w:pPr>
      <w:r>
        <w:rPr>
          <w:rFonts w:cs="Times New Roman" w:ascii="Verdana" w:hAnsi="Verdana"/>
          <w:b/>
          <w:bCs/>
          <w:sz w:val="18"/>
          <w:szCs w:val="18"/>
          <w:lang w:val="pl-PL"/>
        </w:rPr>
      </w:r>
    </w:p>
    <w:p>
      <w:pPr>
        <w:pStyle w:val="ListParagraph"/>
        <w:numPr>
          <w:ilvl w:val="0"/>
          <w:numId w:val="1"/>
        </w:numPr>
        <w:tabs>
          <w:tab w:val="clear" w:pos="408"/>
          <w:tab w:val="left" w:pos="426" w:leader="none"/>
        </w:tabs>
        <w:spacing w:lineRule="auto" w:line="240" w:before="0" w:after="113"/>
        <w:ind w:left="0" w:hanging="0"/>
        <w:contextualSpacing/>
        <w:jc w:val="both"/>
        <w:rPr>
          <w:rFonts w:ascii="Verdana" w:hAnsi="Verdana"/>
          <w:b/>
          <w:b/>
          <w:bCs/>
          <w:sz w:val="18"/>
          <w:szCs w:val="18"/>
        </w:rPr>
      </w:pPr>
      <w:r>
        <w:rPr>
          <w:rFonts w:cs="Times New Roman"/>
          <w:b/>
          <w:bCs/>
          <w:sz w:val="18"/>
          <w:szCs w:val="18"/>
          <w:lang w:val="pl-PL"/>
        </w:rPr>
        <w:t>Informacje i objaśnienia dotyczące bilansu:</w:t>
      </w:r>
    </w:p>
    <w:p>
      <w:pPr>
        <w:pStyle w:val="Normal"/>
        <w:widowControl/>
        <w:tabs>
          <w:tab w:val="clear" w:pos="408"/>
          <w:tab w:val="left" w:pos="993" w:leader="none"/>
        </w:tabs>
        <w:bidi w:val="0"/>
        <w:spacing w:lineRule="auto" w:line="240" w:before="0" w:after="57"/>
        <w:ind w:left="1020" w:right="0" w:hanging="737"/>
        <w:jc w:val="both"/>
        <w:rPr>
          <w:rFonts w:ascii="Verdana" w:hAnsi="Verdana"/>
          <w:sz w:val="18"/>
          <w:szCs w:val="18"/>
        </w:rPr>
      </w:pPr>
      <w:r>
        <w:rPr>
          <w:rFonts w:cs="Times New Roman" w:ascii="Verdana" w:hAnsi="Verdana"/>
          <w:sz w:val="18"/>
          <w:szCs w:val="18"/>
          <w:lang w:val="pl-PL"/>
        </w:rPr>
        <w:t xml:space="preserve">1.1. </w:t>
        <w:tab/>
        <w:t xml:space="preserve">Szczegółowy zakres zmian wartości grup rodzajowych środków trwałych, wartości niematerialnych i prawnych: </w:t>
      </w:r>
      <w:r>
        <w:rPr>
          <w:rFonts w:cs="Times New Roman" w:ascii="Verdana" w:hAnsi="Verdana"/>
          <w:strike/>
          <w:sz w:val="18"/>
          <w:szCs w:val="18"/>
          <w:lang w:val="pl-PL"/>
        </w:rPr>
        <w:t xml:space="preserve">nie dotyczy </w:t>
      </w:r>
      <w:r>
        <w:rPr>
          <w:rFonts w:cs="Times New Roman" w:ascii="Verdana" w:hAnsi="Verdana"/>
          <w:sz w:val="18"/>
          <w:szCs w:val="18"/>
          <w:lang w:val="pl-PL"/>
        </w:rPr>
        <w:t>/ zawiera zał. nr 1 i nr 2*.</w:t>
      </w:r>
    </w:p>
    <w:p>
      <w:pPr>
        <w:pStyle w:val="ListParagraph"/>
        <w:numPr>
          <w:ilvl w:val="1"/>
          <w:numId w:val="1"/>
        </w:numPr>
        <w:tabs>
          <w:tab w:val="clear" w:pos="408"/>
          <w:tab w:val="left" w:pos="851" w:leader="none"/>
        </w:tabs>
        <w:spacing w:lineRule="auto" w:line="240" w:before="0" w:after="57"/>
        <w:ind w:left="993" w:hanging="709"/>
        <w:contextualSpacing/>
        <w:jc w:val="both"/>
        <w:rPr>
          <w:sz w:val="18"/>
          <w:szCs w:val="18"/>
        </w:rPr>
      </w:pPr>
      <w:r>
        <w:rPr>
          <w:rFonts w:cs="Times New Roman"/>
          <w:sz w:val="18"/>
          <w:szCs w:val="18"/>
          <w:lang w:val="pl-PL"/>
        </w:rPr>
        <w:tab/>
        <w:t>Środki trwałe w budowie:</w:t>
      </w:r>
      <w:r>
        <w:rPr>
          <w:rFonts w:cs="Times New Roman"/>
          <w:strike w:val="false"/>
          <w:dstrike w:val="false"/>
          <w:sz w:val="18"/>
          <w:szCs w:val="18"/>
          <w:lang w:val="pl-PL"/>
        </w:rPr>
        <w:t xml:space="preserve"> nie dotyczy</w:t>
      </w:r>
      <w:r>
        <w:rPr>
          <w:rFonts w:cs="Times New Roman"/>
          <w:sz w:val="18"/>
          <w:szCs w:val="18"/>
          <w:lang w:val="pl-PL"/>
        </w:rPr>
        <w:t xml:space="preserve"> / </w:t>
      </w:r>
      <w:r>
        <w:rPr>
          <w:rFonts w:cs="Times New Roman"/>
          <w:strike/>
          <w:sz w:val="18"/>
          <w:szCs w:val="18"/>
          <w:lang w:val="pl-PL"/>
        </w:rPr>
        <w:t>zawiera zał. nr 3*.</w:t>
      </w:r>
    </w:p>
    <w:p>
      <w:pPr>
        <w:pStyle w:val="ListParagraph"/>
        <w:numPr>
          <w:ilvl w:val="1"/>
          <w:numId w:val="1"/>
        </w:numPr>
        <w:tabs>
          <w:tab w:val="clear" w:pos="408"/>
          <w:tab w:val="left" w:pos="993" w:leader="none"/>
        </w:tabs>
        <w:spacing w:lineRule="auto" w:line="240" w:before="0" w:after="57"/>
        <w:ind w:left="284" w:hanging="0"/>
        <w:contextualSpacing/>
        <w:jc w:val="both"/>
        <w:rPr>
          <w:sz w:val="18"/>
          <w:szCs w:val="18"/>
        </w:rPr>
      </w:pPr>
      <w:r>
        <w:rPr>
          <w:rFonts w:cs="Times New Roman"/>
          <w:sz w:val="18"/>
          <w:szCs w:val="18"/>
          <w:lang w:val="pl-PL"/>
        </w:rPr>
        <w:t xml:space="preserve">Wartość gruntów użytkowanych wieczyście: nie dotyczy / </w:t>
      </w:r>
      <w:r>
        <w:rPr>
          <w:rFonts w:cs="Times New Roman"/>
          <w:strike/>
          <w:sz w:val="18"/>
          <w:szCs w:val="18"/>
          <w:lang w:val="pl-PL"/>
        </w:rPr>
        <w:t>zawiera zał. nr 4</w:t>
      </w:r>
      <w:r>
        <w:rPr>
          <w:rFonts w:cs="Times New Roman"/>
          <w:sz w:val="18"/>
          <w:szCs w:val="18"/>
          <w:lang w:val="pl-PL"/>
        </w:rPr>
        <w:t>*.</w:t>
      </w:r>
    </w:p>
    <w:p>
      <w:pPr>
        <w:pStyle w:val="ListParagraph"/>
        <w:numPr>
          <w:ilvl w:val="1"/>
          <w:numId w:val="1"/>
        </w:numPr>
        <w:tabs>
          <w:tab w:val="clear" w:pos="408"/>
          <w:tab w:val="left" w:pos="993" w:leader="none"/>
        </w:tabs>
        <w:spacing w:lineRule="auto" w:line="240" w:before="0" w:after="57"/>
        <w:ind w:left="993" w:hanging="709"/>
        <w:contextualSpacing/>
        <w:jc w:val="both"/>
        <w:rPr>
          <w:rFonts w:ascii="Verdana" w:hAnsi="Verdana"/>
          <w:sz w:val="18"/>
          <w:szCs w:val="18"/>
        </w:rPr>
      </w:pPr>
      <w:r>
        <w:rPr>
          <w:rFonts w:cs="Times New Roman"/>
          <w:sz w:val="18"/>
          <w:szCs w:val="18"/>
          <w:lang w:val="pl-PL"/>
        </w:rPr>
        <w:t xml:space="preserve">Wykaz nieamortyzowanych lub nieumarzanych przez jednostkę środków trwałych, używanych na podstawie umów najmu, dzierżawy i innych umów, w tym z tytułu umów leasingu: </w:t>
      </w:r>
      <w:r>
        <w:rPr>
          <w:rFonts w:cs="Times New Roman"/>
          <w:strike w:val="false"/>
          <w:dstrike w:val="false"/>
          <w:sz w:val="18"/>
          <w:szCs w:val="18"/>
          <w:lang w:val="pl-PL"/>
        </w:rPr>
        <w:t>nie dotyczy</w:t>
      </w:r>
      <w:r>
        <w:rPr>
          <w:rFonts w:cs="Times New Roman"/>
          <w:sz w:val="18"/>
          <w:szCs w:val="18"/>
          <w:lang w:val="pl-PL"/>
        </w:rPr>
        <w:t xml:space="preserve"> / </w:t>
      </w:r>
      <w:r>
        <w:rPr>
          <w:rFonts w:cs="Times New Roman"/>
          <w:strike/>
          <w:sz w:val="18"/>
          <w:szCs w:val="18"/>
          <w:lang w:val="pl-PL"/>
        </w:rPr>
        <w:t>zawiera zał. nr 5*</w:t>
      </w:r>
      <w:r>
        <w:rPr>
          <w:rFonts w:cs="Times New Roman"/>
          <w:strike w:val="false"/>
          <w:dstrike w:val="false"/>
          <w:sz w:val="18"/>
          <w:szCs w:val="18"/>
          <w:lang w:val="pl-PL"/>
        </w:rPr>
        <w:t>.</w:t>
      </w:r>
    </w:p>
    <w:p>
      <w:pPr>
        <w:pStyle w:val="ListParagraph"/>
        <w:numPr>
          <w:ilvl w:val="1"/>
          <w:numId w:val="1"/>
        </w:numPr>
        <w:tabs>
          <w:tab w:val="clear" w:pos="408"/>
          <w:tab w:val="left" w:pos="993" w:leader="none"/>
        </w:tabs>
        <w:spacing w:lineRule="auto" w:line="240" w:before="0" w:after="57"/>
        <w:ind w:left="0" w:firstLine="284"/>
        <w:contextualSpacing/>
        <w:jc w:val="both"/>
        <w:rPr>
          <w:lang w:val="pl-PL"/>
        </w:rPr>
      </w:pPr>
      <w:r>
        <w:rPr>
          <w:rFonts w:cs="Times New Roman"/>
          <w:sz w:val="18"/>
          <w:szCs w:val="18"/>
          <w:lang w:val="pl-PL"/>
        </w:rPr>
        <w:t xml:space="preserve">Dane o odpisach aktualizujących wartość należności, ze wskazaniem stanu na początek </w:t>
        <w:tab/>
        <w:t xml:space="preserve">roku obrotowego, zwiększeniach, wykorzystaniu, rozwiązaniu i stanie na koniec roku </w:t>
        <w:tab/>
        <w:t xml:space="preserve">obrotowego: </w:t>
      </w:r>
      <w:r>
        <w:rPr>
          <w:rFonts w:cs="Times New Roman"/>
          <w:strike/>
          <w:sz w:val="18"/>
          <w:szCs w:val="18"/>
          <w:lang w:val="pl-PL"/>
        </w:rPr>
        <w:t>nie dotyczy</w:t>
      </w:r>
      <w:r>
        <w:rPr>
          <w:rFonts w:cs="Times New Roman"/>
          <w:sz w:val="18"/>
          <w:szCs w:val="18"/>
          <w:lang w:val="pl-PL"/>
        </w:rPr>
        <w:t xml:space="preserve"> / </w:t>
      </w:r>
      <w:r>
        <w:rPr>
          <w:rFonts w:cs="Times New Roman"/>
          <w:strike w:val="false"/>
          <w:dstrike w:val="false"/>
          <w:sz w:val="18"/>
          <w:szCs w:val="18"/>
          <w:lang w:val="pl-PL"/>
        </w:rPr>
        <w:t>zawiera zał. nr 6</w:t>
      </w:r>
      <w:r>
        <w:rPr>
          <w:rFonts w:cs="Times New Roman"/>
          <w:sz w:val="18"/>
          <w:szCs w:val="18"/>
          <w:lang w:val="pl-PL"/>
        </w:rPr>
        <w:t>*.</w:t>
      </w:r>
    </w:p>
    <w:p>
      <w:pPr>
        <w:pStyle w:val="Normal"/>
        <w:tabs>
          <w:tab w:val="clear" w:pos="408"/>
          <w:tab w:val="left" w:pos="993" w:leader="none"/>
        </w:tabs>
        <w:spacing w:lineRule="auto" w:line="240" w:before="0" w:after="57"/>
        <w:ind w:left="284" w:hanging="0"/>
        <w:jc w:val="both"/>
        <w:rPr>
          <w:sz w:val="18"/>
          <w:szCs w:val="18"/>
        </w:rPr>
      </w:pPr>
      <w:r>
        <w:rPr>
          <w:rFonts w:cs="Times New Roman" w:ascii="Verdana" w:hAnsi="Verdana"/>
          <w:sz w:val="18"/>
          <w:szCs w:val="18"/>
          <w:lang w:val="pl-PL"/>
        </w:rPr>
        <w:t>1.6.</w:t>
        <w:tab/>
        <w:t xml:space="preserve">Dane dotyczące zmian w funduszu instytucji oraz funduszu rezerwowego: </w:t>
      </w:r>
      <w:r>
        <w:rPr>
          <w:rFonts w:cs="Times New Roman" w:ascii="Verdana" w:hAnsi="Verdana"/>
          <w:strike/>
          <w:sz w:val="18"/>
          <w:szCs w:val="18"/>
          <w:lang w:val="pl-PL"/>
        </w:rPr>
        <w:t>nie dotyczy</w:t>
      </w:r>
      <w:r>
        <w:rPr>
          <w:rFonts w:cs="Times New Roman" w:ascii="Verdana" w:hAnsi="Verdana"/>
          <w:sz w:val="18"/>
          <w:szCs w:val="18"/>
          <w:lang w:val="pl-PL"/>
        </w:rPr>
        <w:t xml:space="preserve"> / </w:t>
        <w:tab/>
        <w:t xml:space="preserve"> </w:t>
      </w:r>
      <w:r>
        <w:rPr>
          <w:rFonts w:cs="Times New Roman" w:ascii="Verdana" w:hAnsi="Verdana"/>
          <w:strike w:val="false"/>
          <w:dstrike w:val="false"/>
          <w:sz w:val="18"/>
          <w:szCs w:val="18"/>
          <w:lang w:val="pl-PL"/>
        </w:rPr>
        <w:t>zawiera zał. nr 7</w:t>
      </w:r>
      <w:r>
        <w:rPr>
          <w:rFonts w:cs="Times New Roman" w:ascii="Verdana" w:hAnsi="Verdana"/>
          <w:sz w:val="18"/>
          <w:szCs w:val="18"/>
          <w:lang w:val="pl-PL"/>
        </w:rPr>
        <w:t>*.</w:t>
      </w:r>
    </w:p>
    <w:p>
      <w:pPr>
        <w:pStyle w:val="Normal"/>
        <w:tabs>
          <w:tab w:val="clear" w:pos="408"/>
          <w:tab w:val="left" w:pos="993" w:leader="none"/>
        </w:tabs>
        <w:spacing w:lineRule="auto" w:line="240" w:before="0" w:after="57"/>
        <w:ind w:left="284" w:hanging="0"/>
        <w:jc w:val="both"/>
        <w:rPr>
          <w:lang w:val="pl-PL"/>
        </w:rPr>
      </w:pPr>
      <w:r>
        <w:rPr>
          <w:rFonts w:cs="Times New Roman" w:ascii="Verdana" w:hAnsi="Verdana"/>
          <w:sz w:val="18"/>
          <w:szCs w:val="18"/>
          <w:lang w:val="pl-PL"/>
        </w:rPr>
        <w:t>1.7.</w:t>
        <w:tab/>
        <w:t xml:space="preserve">Dane dotyczące zmiany funduszu z aktualizacji wyceny: nie dotyczy / </w:t>
      </w:r>
      <w:r>
        <w:rPr>
          <w:rFonts w:cs="Times New Roman" w:ascii="Verdana" w:hAnsi="Verdana"/>
          <w:strike/>
          <w:sz w:val="18"/>
          <w:szCs w:val="18"/>
          <w:lang w:val="pl-PL"/>
        </w:rPr>
        <w:t>zawiera</w:t>
      </w:r>
      <w:r>
        <w:rPr>
          <w:rFonts w:cs="Times New Roman" w:ascii="Verdana" w:hAnsi="Verdana"/>
          <w:sz w:val="18"/>
          <w:szCs w:val="18"/>
          <w:lang w:val="pl-PL"/>
        </w:rPr>
        <w:t xml:space="preserve"> </w:t>
        <w:br/>
        <w:tab/>
      </w:r>
      <w:r>
        <w:rPr>
          <w:rFonts w:cs="Times New Roman" w:ascii="Verdana" w:hAnsi="Verdana"/>
          <w:strike/>
          <w:sz w:val="18"/>
          <w:szCs w:val="18"/>
          <w:lang w:val="pl-PL"/>
        </w:rPr>
        <w:t>zał. nr 8</w:t>
      </w:r>
      <w:r>
        <w:rPr>
          <w:rFonts w:cs="Times New Roman" w:ascii="Verdana" w:hAnsi="Verdana"/>
          <w:sz w:val="18"/>
          <w:szCs w:val="18"/>
          <w:lang w:val="pl-PL"/>
        </w:rPr>
        <w:t>*.</w:t>
      </w:r>
    </w:p>
    <w:p>
      <w:pPr>
        <w:pStyle w:val="ListParagraph"/>
        <w:numPr>
          <w:ilvl w:val="1"/>
          <w:numId w:val="2"/>
        </w:numPr>
        <w:tabs>
          <w:tab w:val="clear" w:pos="408"/>
          <w:tab w:val="left" w:pos="993" w:leader="none"/>
        </w:tabs>
        <w:spacing w:lineRule="auto" w:line="240" w:before="0" w:after="57"/>
        <w:ind w:left="284" w:hanging="0"/>
        <w:contextualSpacing/>
        <w:jc w:val="both"/>
        <w:rPr>
          <w:lang w:val="pl-PL"/>
        </w:rPr>
      </w:pPr>
      <w:r>
        <w:rPr>
          <w:rFonts w:cs="Times New Roman"/>
          <w:sz w:val="18"/>
          <w:szCs w:val="18"/>
          <w:lang w:val="pl-PL"/>
        </w:rPr>
        <w:t xml:space="preserve">Zysk za rok 2021 rok kierownik jednostki zamierza przeznaczyć na: fundusz instytucji </w:t>
        <w:tab/>
        <w:t>(zadania statutowe).</w:t>
        <w:tab/>
        <w:t xml:space="preserve"> </w:t>
      </w:r>
    </w:p>
    <w:p>
      <w:pPr>
        <w:pStyle w:val="ListParagraph"/>
        <w:numPr>
          <w:ilvl w:val="1"/>
          <w:numId w:val="2"/>
        </w:numPr>
        <w:tabs>
          <w:tab w:val="clear" w:pos="408"/>
          <w:tab w:val="left" w:pos="993" w:leader="none"/>
        </w:tabs>
        <w:spacing w:lineRule="auto" w:line="240" w:before="0" w:after="57"/>
        <w:ind w:left="0" w:firstLine="284"/>
        <w:contextualSpacing/>
        <w:jc w:val="both"/>
        <w:rPr/>
      </w:pPr>
      <w:r>
        <w:rPr>
          <w:rFonts w:cs="Times New Roman"/>
          <w:sz w:val="18"/>
          <w:szCs w:val="18"/>
          <w:lang w:val="pl-PL"/>
        </w:rPr>
        <w:t xml:space="preserve">Dane o stanie rezerw według celu ich utworzenia na początek roku obrotowego, </w:t>
        <w:tab/>
        <w:t xml:space="preserve">zwiększeniach, wykorzystaniu, rozwiązaniu i stanie końcowym: nie dotyczy / </w:t>
      </w:r>
      <w:r>
        <w:rPr>
          <w:rFonts w:cs="Times New Roman"/>
          <w:b w:val="false"/>
          <w:bCs w:val="false"/>
          <w:strike/>
          <w:sz w:val="18"/>
          <w:szCs w:val="18"/>
          <w:lang w:val="pl-PL"/>
        </w:rPr>
        <w:t>zawiera</w:t>
      </w:r>
      <w:r>
        <w:rPr>
          <w:rFonts w:cs="Times New Roman"/>
          <w:b w:val="false"/>
          <w:bCs w:val="false"/>
          <w:strike w:val="false"/>
          <w:dstrike w:val="false"/>
          <w:sz w:val="18"/>
          <w:szCs w:val="18"/>
          <w:lang w:val="pl-PL"/>
        </w:rPr>
        <w:t xml:space="preserve"> </w:t>
        <w:tab/>
      </w:r>
      <w:r>
        <w:rPr>
          <w:rFonts w:cs="Times New Roman"/>
          <w:b w:val="false"/>
          <w:bCs w:val="false"/>
          <w:strike/>
          <w:sz w:val="18"/>
          <w:szCs w:val="18"/>
          <w:lang w:val="pl-PL"/>
        </w:rPr>
        <w:t>zał. nr 9</w:t>
      </w:r>
      <w:r>
        <w:rPr>
          <w:rFonts w:cs="Times New Roman"/>
          <w:b w:val="false"/>
          <w:bCs w:val="false"/>
          <w:strike w:val="false"/>
          <w:dstrike w:val="false"/>
          <w:sz w:val="18"/>
          <w:szCs w:val="18"/>
          <w:lang w:val="pl-PL"/>
        </w:rPr>
        <w:t>*.</w:t>
      </w:r>
    </w:p>
    <w:p>
      <w:pPr>
        <w:pStyle w:val="ListParagraph"/>
        <w:numPr>
          <w:ilvl w:val="1"/>
          <w:numId w:val="2"/>
        </w:numPr>
        <w:tabs>
          <w:tab w:val="clear" w:pos="408"/>
          <w:tab w:val="left" w:pos="993" w:leader="none"/>
        </w:tabs>
        <w:spacing w:lineRule="auto" w:line="240" w:before="0" w:after="57"/>
        <w:ind w:left="0" w:firstLine="284"/>
        <w:contextualSpacing/>
        <w:jc w:val="both"/>
        <w:rPr>
          <w:sz w:val="18"/>
          <w:szCs w:val="18"/>
        </w:rPr>
      </w:pPr>
      <w:bookmarkStart w:id="0" w:name="__DdeLink__254_1553755708"/>
      <w:r>
        <w:rPr>
          <w:rFonts w:cs="Times New Roman"/>
          <w:b w:val="false"/>
          <w:bCs w:val="false"/>
          <w:strike w:val="false"/>
          <w:dstrike w:val="false"/>
          <w:sz w:val="18"/>
          <w:szCs w:val="18"/>
          <w:lang w:val="pl-PL"/>
        </w:rPr>
        <w:t xml:space="preserve">Podział zobowiązań krótkoterminowych według pozycji bilansu o pozostałym </w:t>
        <w:br/>
        <w:tab/>
        <w:t xml:space="preserve">od </w:t>
        <w:tab/>
        <w:t xml:space="preserve">dnia bilansowego, przewidywanym umową, okresie spłaty: </w:t>
      </w:r>
      <w:r>
        <w:rPr>
          <w:rFonts w:cs="Times New Roman"/>
          <w:b w:val="false"/>
          <w:bCs w:val="false"/>
          <w:strike/>
          <w:sz w:val="18"/>
          <w:szCs w:val="18"/>
          <w:lang w:val="pl-PL"/>
        </w:rPr>
        <w:t>nie dotyczy</w:t>
      </w:r>
      <w:r>
        <w:rPr>
          <w:rFonts w:cs="Times New Roman"/>
          <w:b w:val="false"/>
          <w:bCs w:val="false"/>
          <w:strike w:val="false"/>
          <w:dstrike w:val="false"/>
          <w:sz w:val="18"/>
          <w:szCs w:val="18"/>
          <w:lang w:val="pl-PL"/>
        </w:rPr>
        <w:t xml:space="preserve"> / </w:t>
        <w:br/>
        <w:tab/>
        <w:t>zawiera zał. nr 10a*</w:t>
      </w:r>
      <w:bookmarkEnd w:id="0"/>
      <w:r>
        <w:rPr>
          <w:rFonts w:cs="Times New Roman"/>
          <w:b w:val="false"/>
          <w:bCs w:val="false"/>
          <w:strike w:val="false"/>
          <w:dstrike w:val="false"/>
          <w:sz w:val="18"/>
          <w:szCs w:val="18"/>
          <w:lang w:val="pl-PL"/>
        </w:rPr>
        <w:t>.</w:t>
      </w:r>
    </w:p>
    <w:p>
      <w:pPr>
        <w:pStyle w:val="Normal"/>
        <w:tabs>
          <w:tab w:val="clear" w:pos="408"/>
          <w:tab w:val="left" w:pos="993" w:leader="none"/>
        </w:tabs>
        <w:spacing w:lineRule="auto" w:line="240" w:before="0" w:after="57"/>
        <w:ind w:firstLine="284"/>
        <w:jc w:val="both"/>
        <w:rPr>
          <w:sz w:val="18"/>
          <w:szCs w:val="18"/>
        </w:rPr>
      </w:pPr>
      <w:r>
        <w:rPr>
          <w:rFonts w:cs="Times New Roman" w:ascii="Verdana" w:hAnsi="Verdana"/>
          <w:sz w:val="18"/>
          <w:szCs w:val="18"/>
          <w:lang w:val="pl-PL"/>
        </w:rPr>
        <w:t>1.11.</w:t>
        <w:tab/>
      </w:r>
      <w:bookmarkStart w:id="1" w:name="__DdeLink__407_1005827902"/>
      <w:r>
        <w:rPr>
          <w:rFonts w:cs="Times New Roman" w:ascii="Verdana" w:hAnsi="Verdana"/>
          <w:sz w:val="18"/>
          <w:szCs w:val="18"/>
          <w:lang w:val="pl-PL"/>
        </w:rPr>
        <w:t xml:space="preserve">Podział zobowiązań długoterminowych według pozycji bilansu o pozostałym </w:t>
        <w:br/>
        <w:tab/>
        <w:t xml:space="preserve">od </w:t>
        <w:tab/>
        <w:t xml:space="preserve">dnia bilansowego, przewidywanym umową, okresie spłaty: nie dotyczy / </w:t>
        <w:br/>
        <w:tab/>
      </w:r>
      <w:r>
        <w:rPr>
          <w:rFonts w:cs="Times New Roman" w:ascii="Verdana" w:hAnsi="Verdana"/>
          <w:strike/>
          <w:sz w:val="18"/>
          <w:szCs w:val="18"/>
          <w:lang w:val="pl-PL"/>
        </w:rPr>
        <w:t>zawiera zał. nr 10b</w:t>
      </w:r>
      <w:r>
        <w:rPr>
          <w:rFonts w:cs="Times New Roman" w:ascii="Verdana" w:hAnsi="Verdana"/>
          <w:sz w:val="18"/>
          <w:szCs w:val="18"/>
          <w:lang w:val="pl-PL"/>
        </w:rPr>
        <w:t>*</w:t>
      </w:r>
      <w:bookmarkEnd w:id="1"/>
      <w:r>
        <w:rPr>
          <w:rFonts w:cs="Times New Roman" w:ascii="Verdana" w:hAnsi="Verdana"/>
          <w:sz w:val="18"/>
          <w:szCs w:val="18"/>
          <w:lang w:val="pl-PL"/>
        </w:rPr>
        <w:t>.</w:t>
      </w:r>
    </w:p>
    <w:p>
      <w:pPr>
        <w:pStyle w:val="Normal"/>
        <w:tabs>
          <w:tab w:val="clear" w:pos="408"/>
          <w:tab w:val="left" w:pos="993" w:leader="none"/>
        </w:tabs>
        <w:spacing w:lineRule="auto" w:line="240" w:before="0" w:after="57"/>
        <w:ind w:firstLine="284"/>
        <w:jc w:val="both"/>
        <w:rPr>
          <w:sz w:val="18"/>
          <w:szCs w:val="18"/>
        </w:rPr>
      </w:pPr>
      <w:r>
        <w:rPr>
          <w:rFonts w:cs="Times New Roman" w:ascii="Verdana" w:hAnsi="Verdana"/>
          <w:sz w:val="18"/>
          <w:szCs w:val="18"/>
          <w:lang w:val="pl-PL"/>
        </w:rPr>
        <w:t>1.12.</w:t>
        <w:tab/>
      </w:r>
      <w:r>
        <w:rPr>
          <w:rFonts w:cs="Times New Roman" w:ascii="Verdana" w:hAnsi="Verdana"/>
          <w:b w:val="false"/>
          <w:bCs w:val="false"/>
          <w:strike w:val="false"/>
          <w:dstrike w:val="false"/>
          <w:sz w:val="18"/>
          <w:szCs w:val="18"/>
          <w:lang w:val="pl-PL"/>
        </w:rPr>
        <w:t xml:space="preserve">Podział należności krótkoterminowych według pozycji bilansu o pozostałym </w:t>
        <w:br/>
        <w:tab/>
        <w:t xml:space="preserve">od </w:t>
        <w:tab/>
        <w:t xml:space="preserve">dnia bilansowego, przewidywanym umową, okresie wpływu: </w:t>
      </w:r>
      <w:r>
        <w:rPr>
          <w:rFonts w:cs="Times New Roman" w:ascii="Verdana" w:hAnsi="Verdana"/>
          <w:b w:val="false"/>
          <w:bCs w:val="false"/>
          <w:strike/>
          <w:sz w:val="18"/>
          <w:szCs w:val="18"/>
          <w:lang w:val="pl-PL"/>
        </w:rPr>
        <w:t>nie dotyczy</w:t>
      </w:r>
      <w:r>
        <w:rPr>
          <w:rFonts w:cs="Times New Roman" w:ascii="Verdana" w:hAnsi="Verdana"/>
          <w:b w:val="false"/>
          <w:bCs w:val="false"/>
          <w:strike w:val="false"/>
          <w:dstrike w:val="false"/>
          <w:sz w:val="18"/>
          <w:szCs w:val="18"/>
          <w:lang w:val="pl-PL"/>
        </w:rPr>
        <w:t xml:space="preserve"> / </w:t>
        <w:br/>
        <w:tab/>
        <w:t>zawiera zał. nr 10c*.</w:t>
      </w:r>
    </w:p>
    <w:p>
      <w:pPr>
        <w:pStyle w:val="Normal"/>
        <w:tabs>
          <w:tab w:val="clear" w:pos="408"/>
          <w:tab w:val="left" w:pos="993" w:leader="none"/>
        </w:tabs>
        <w:spacing w:lineRule="auto" w:line="240" w:before="0" w:after="57"/>
        <w:ind w:left="284" w:hanging="0"/>
        <w:jc w:val="both"/>
        <w:rPr>
          <w:sz w:val="18"/>
          <w:szCs w:val="18"/>
        </w:rPr>
      </w:pPr>
      <w:r>
        <w:rPr>
          <w:rFonts w:cs="Times New Roman" w:ascii="Verdana" w:hAnsi="Verdana"/>
          <w:sz w:val="18"/>
          <w:szCs w:val="18"/>
          <w:lang w:val="pl-PL"/>
        </w:rPr>
        <w:t>1.13.</w:t>
        <w:tab/>
        <w:t xml:space="preserve">Łączną kwotę zobowiązań zabezpieczonych na majątku jednostki ze wskazaniem </w:t>
        <w:tab/>
        <w:t xml:space="preserve">charakteru i formy tych zabezpieczeń: nie dotyczy / </w:t>
      </w:r>
      <w:r>
        <w:rPr>
          <w:rFonts w:cs="Times New Roman" w:ascii="Verdana" w:hAnsi="Verdana"/>
          <w:strike/>
          <w:sz w:val="18"/>
          <w:szCs w:val="18"/>
          <w:lang w:val="pl-PL"/>
        </w:rPr>
        <w:t>zawiera zał. nr 11</w:t>
      </w:r>
      <w:r>
        <w:rPr>
          <w:rFonts w:cs="Times New Roman" w:ascii="Verdana" w:hAnsi="Verdana"/>
          <w:sz w:val="18"/>
          <w:szCs w:val="18"/>
          <w:lang w:val="pl-PL"/>
        </w:rPr>
        <w:t>*.</w:t>
      </w:r>
    </w:p>
    <w:p>
      <w:pPr>
        <w:pStyle w:val="ListParagraph"/>
        <w:numPr>
          <w:ilvl w:val="0"/>
          <w:numId w:val="0"/>
        </w:numPr>
        <w:tabs>
          <w:tab w:val="clear" w:pos="408"/>
          <w:tab w:val="left" w:pos="993" w:leader="none"/>
        </w:tabs>
        <w:spacing w:lineRule="auto" w:line="240" w:before="0" w:after="57"/>
        <w:ind w:left="0" w:firstLine="284"/>
        <w:contextualSpacing/>
        <w:jc w:val="both"/>
        <w:rPr>
          <w:sz w:val="18"/>
          <w:szCs w:val="18"/>
        </w:rPr>
      </w:pPr>
      <w:r>
        <w:rPr>
          <w:rFonts w:cs="Times New Roman"/>
          <w:sz w:val="18"/>
          <w:szCs w:val="18"/>
          <w:lang w:val="pl-PL"/>
        </w:rPr>
        <w:t>1.14.</w:t>
        <w:tab/>
        <w:t xml:space="preserve">Wykaz istotnych pozycji czynnych rozliczeń międzyokresowych: nie dotyczy / </w:t>
      </w:r>
      <w:r>
        <w:rPr>
          <w:rFonts w:cs="Times New Roman"/>
          <w:strike/>
          <w:sz w:val="18"/>
          <w:szCs w:val="18"/>
          <w:lang w:val="pl-PL"/>
        </w:rPr>
        <w:t>zawiera</w:t>
      </w:r>
      <w:r>
        <w:rPr>
          <w:rFonts w:cs="Times New Roman"/>
          <w:sz w:val="18"/>
          <w:szCs w:val="18"/>
          <w:lang w:val="pl-PL"/>
        </w:rPr>
        <w:t xml:space="preserve"> </w:t>
        <w:tab/>
      </w:r>
      <w:r>
        <w:rPr>
          <w:rFonts w:cs="Times New Roman"/>
          <w:strike/>
          <w:sz w:val="18"/>
          <w:szCs w:val="18"/>
          <w:lang w:val="pl-PL"/>
        </w:rPr>
        <w:t>zał. nr 12</w:t>
      </w:r>
      <w:r>
        <w:rPr>
          <w:rFonts w:cs="Times New Roman"/>
          <w:sz w:val="18"/>
          <w:szCs w:val="18"/>
          <w:lang w:val="pl-PL"/>
        </w:rPr>
        <w:t>*.</w:t>
      </w:r>
    </w:p>
    <w:p>
      <w:pPr>
        <w:pStyle w:val="ListParagraph"/>
        <w:numPr>
          <w:ilvl w:val="0"/>
          <w:numId w:val="0"/>
        </w:numPr>
        <w:tabs>
          <w:tab w:val="clear" w:pos="408"/>
          <w:tab w:val="left" w:pos="993" w:leader="none"/>
        </w:tabs>
        <w:spacing w:lineRule="auto" w:line="240" w:before="0" w:after="57"/>
        <w:ind w:left="0" w:hanging="0"/>
        <w:contextualSpacing/>
        <w:jc w:val="both"/>
        <w:rPr>
          <w:sz w:val="18"/>
          <w:szCs w:val="18"/>
        </w:rPr>
      </w:pPr>
      <w:r>
        <w:rPr>
          <w:rFonts w:cs="Times New Roman"/>
          <w:sz w:val="18"/>
          <w:szCs w:val="18"/>
          <w:lang w:val="pl-PL"/>
        </w:rPr>
        <w:t xml:space="preserve">     </w:t>
      </w:r>
      <w:r>
        <w:rPr>
          <w:rFonts w:cs="Times New Roman"/>
          <w:sz w:val="18"/>
          <w:szCs w:val="18"/>
          <w:lang w:val="pl-PL"/>
        </w:rPr>
        <w:t xml:space="preserve">1.15. </w:t>
        <w:tab/>
        <w:t xml:space="preserve">Wykaz rozliczeń międzyokresowych przychodów: </w:t>
      </w:r>
      <w:r>
        <w:rPr>
          <w:rFonts w:cs="Times New Roman"/>
          <w:strike/>
          <w:sz w:val="18"/>
          <w:szCs w:val="18"/>
          <w:lang w:val="pl-PL"/>
        </w:rPr>
        <w:t>nie dotyczy</w:t>
      </w:r>
      <w:r>
        <w:rPr>
          <w:rFonts w:cs="Times New Roman"/>
          <w:sz w:val="18"/>
          <w:szCs w:val="18"/>
          <w:lang w:val="pl-PL"/>
        </w:rPr>
        <w:t xml:space="preserve"> /</w:t>
      </w:r>
      <w:r>
        <w:rPr>
          <w:rFonts w:cs="Times New Roman"/>
          <w:strike w:val="false"/>
          <w:dstrike w:val="false"/>
          <w:sz w:val="18"/>
          <w:szCs w:val="18"/>
          <w:lang w:val="pl-PL"/>
        </w:rPr>
        <w:t xml:space="preserve"> zawiera zał. nr 13*.</w:t>
      </w:r>
    </w:p>
    <w:p>
      <w:pPr>
        <w:pStyle w:val="ListParagraph"/>
        <w:widowControl/>
        <w:numPr>
          <w:ilvl w:val="0"/>
          <w:numId w:val="0"/>
        </w:numPr>
        <w:tabs>
          <w:tab w:val="clear" w:pos="408"/>
          <w:tab w:val="left" w:pos="993" w:leader="none"/>
        </w:tabs>
        <w:bidi w:val="0"/>
        <w:spacing w:lineRule="auto" w:line="240" w:before="0" w:after="57"/>
        <w:ind w:left="0" w:right="0" w:firstLine="340"/>
        <w:contextualSpacing/>
        <w:jc w:val="both"/>
        <w:rPr>
          <w:lang w:val="pl-PL"/>
        </w:rPr>
      </w:pPr>
      <w:r>
        <w:rPr>
          <w:rFonts w:cs="Times New Roman"/>
          <w:sz w:val="18"/>
          <w:szCs w:val="18"/>
          <w:lang w:val="pl-PL"/>
        </w:rPr>
        <w:t xml:space="preserve">1.16. </w:t>
        <w:tab/>
        <w:t xml:space="preserve">Łączna kwota zobowiązań warunkowych, w tym również udzielonych przez jednostkę </w:t>
        <w:tab/>
        <w:t xml:space="preserve">gwarancji i poręczeń, także wekslowych, niewykazanych w bilansie, ze wskazaniem </w:t>
        <w:tab/>
        <w:t xml:space="preserve">zobowiązań zabezpieczonych na majątku jednostki oraz charakteru i formy tych </w:t>
        <w:tab/>
        <w:t xml:space="preserve">zabezpieczeń: nie dotyczy / </w:t>
      </w:r>
      <w:r>
        <w:rPr>
          <w:rFonts w:cs="Times New Roman"/>
          <w:strike/>
          <w:sz w:val="18"/>
          <w:szCs w:val="18"/>
          <w:lang w:val="pl-PL"/>
        </w:rPr>
        <w:t>zawiera zał. nr 14 i 15</w:t>
      </w:r>
      <w:r>
        <w:rPr>
          <w:rFonts w:cs="Times New Roman"/>
          <w:sz w:val="18"/>
          <w:szCs w:val="18"/>
          <w:lang w:val="pl-PL"/>
        </w:rPr>
        <w:t>*.</w:t>
      </w:r>
    </w:p>
    <w:p>
      <w:pPr>
        <w:pStyle w:val="Normal"/>
        <w:spacing w:lineRule="auto" w:line="240" w:before="0" w:after="0"/>
        <w:ind w:hanging="425"/>
        <w:jc w:val="both"/>
        <w:rPr>
          <w:rFonts w:ascii="Verdana" w:hAnsi="Verdana" w:cs="Times New Roman"/>
          <w:sz w:val="18"/>
          <w:szCs w:val="18"/>
          <w:lang w:val="pl-PL"/>
        </w:rPr>
      </w:pPr>
      <w:r>
        <w:rPr>
          <w:rFonts w:cs="Times New Roman" w:ascii="Verdana" w:hAnsi="Verdana"/>
          <w:sz w:val="18"/>
          <w:szCs w:val="18"/>
          <w:lang w:val="pl-PL"/>
        </w:rPr>
      </w:r>
    </w:p>
    <w:p>
      <w:pPr>
        <w:pStyle w:val="ListParagraph"/>
        <w:numPr>
          <w:ilvl w:val="0"/>
          <w:numId w:val="0"/>
        </w:numPr>
        <w:tabs>
          <w:tab w:val="clear" w:pos="408"/>
          <w:tab w:val="left" w:pos="426" w:leader="none"/>
        </w:tabs>
        <w:spacing w:lineRule="auto" w:line="240" w:before="0" w:after="113"/>
        <w:ind w:left="0" w:hanging="0"/>
        <w:contextualSpacing/>
        <w:jc w:val="both"/>
        <w:rPr>
          <w:sz w:val="18"/>
          <w:szCs w:val="18"/>
        </w:rPr>
      </w:pPr>
      <w:r>
        <w:rPr>
          <w:rFonts w:cs="Times New Roman"/>
          <w:b/>
          <w:sz w:val="18"/>
          <w:szCs w:val="18"/>
          <w:lang w:val="pl-PL"/>
        </w:rPr>
        <w:t xml:space="preserve">2. </w:t>
        <w:tab/>
        <w:t>Informacje i objaśnienia dotyczące rachunku zysków i strat:</w:t>
      </w:r>
    </w:p>
    <w:p>
      <w:pPr>
        <w:pStyle w:val="ListParagraph"/>
        <w:tabs>
          <w:tab w:val="clear" w:pos="408"/>
          <w:tab w:val="left" w:pos="993" w:leader="none"/>
        </w:tabs>
        <w:spacing w:lineRule="auto" w:line="240" w:before="0" w:after="57"/>
        <w:ind w:left="0" w:firstLine="284"/>
        <w:contextualSpacing/>
        <w:jc w:val="both"/>
        <w:rPr>
          <w:lang w:val="pl-PL"/>
        </w:rPr>
      </w:pPr>
      <w:r>
        <w:rPr>
          <w:rFonts w:cs="Times New Roman"/>
          <w:sz w:val="18"/>
          <w:szCs w:val="18"/>
          <w:lang w:val="pl-PL"/>
        </w:rPr>
        <w:t xml:space="preserve">2.1.  </w:t>
        <w:tab/>
        <w:t xml:space="preserve">Strukturę rzeczową (rodzaje działalności) i terytorialną (rynki geograficzne) </w:t>
        <w:tab/>
        <w:t xml:space="preserve">przychodów </w:t>
        <w:tab/>
        <w:t xml:space="preserve">netto ze sprzedaży towarów i usług: </w:t>
      </w:r>
      <w:r>
        <w:rPr>
          <w:rFonts w:cs="Times New Roman"/>
          <w:strike/>
          <w:sz w:val="18"/>
          <w:szCs w:val="18"/>
          <w:lang w:val="pl-PL"/>
        </w:rPr>
        <w:t>nie dotyczy</w:t>
      </w:r>
      <w:r>
        <w:rPr>
          <w:rFonts w:cs="Times New Roman"/>
          <w:sz w:val="18"/>
          <w:szCs w:val="18"/>
          <w:lang w:val="pl-PL"/>
        </w:rPr>
        <w:t xml:space="preserve"> / zawiera zał. nr 16*. </w:t>
      </w:r>
    </w:p>
    <w:p>
      <w:pPr>
        <w:pStyle w:val="ListParagraph"/>
        <w:tabs>
          <w:tab w:val="clear" w:pos="408"/>
          <w:tab w:val="left" w:pos="993" w:leader="none"/>
        </w:tabs>
        <w:spacing w:lineRule="auto" w:line="240" w:before="0" w:after="57"/>
        <w:ind w:left="0" w:firstLine="284"/>
        <w:contextualSpacing/>
        <w:jc w:val="both"/>
        <w:rPr>
          <w:rFonts w:ascii="Verdana" w:hAnsi="Verdana"/>
          <w:sz w:val="18"/>
          <w:szCs w:val="18"/>
        </w:rPr>
      </w:pPr>
      <w:r>
        <w:rPr>
          <w:rFonts w:cs="Times New Roman"/>
          <w:sz w:val="18"/>
          <w:szCs w:val="18"/>
          <w:lang w:val="pl-PL"/>
        </w:rPr>
        <w:t xml:space="preserve">2.2. </w:t>
        <w:tab/>
        <w:t>Wysokość odpisów aktualizujących wartość zapasów: nie dotyczy/</w:t>
      </w:r>
      <w:r>
        <w:rPr>
          <w:rFonts w:cs="Times New Roman"/>
          <w:strike/>
          <w:sz w:val="18"/>
          <w:szCs w:val="18"/>
          <w:lang w:val="pl-PL"/>
        </w:rPr>
        <w:t>zawiera zał. nr 17</w:t>
      </w:r>
      <w:r>
        <w:rPr>
          <w:rFonts w:cs="Times New Roman"/>
          <w:sz w:val="18"/>
          <w:szCs w:val="18"/>
          <w:lang w:val="pl-PL"/>
        </w:rPr>
        <w:t>* .</w:t>
      </w:r>
    </w:p>
    <w:p>
      <w:pPr>
        <w:pStyle w:val="ListParagraph"/>
        <w:tabs>
          <w:tab w:val="clear" w:pos="408"/>
          <w:tab w:val="left" w:pos="993" w:leader="none"/>
        </w:tabs>
        <w:spacing w:lineRule="auto" w:line="240" w:before="0" w:after="57"/>
        <w:ind w:left="284" w:hanging="0"/>
        <w:contextualSpacing/>
        <w:jc w:val="both"/>
        <w:rPr>
          <w:rFonts w:ascii="Verdana" w:hAnsi="Verdana"/>
          <w:sz w:val="18"/>
          <w:szCs w:val="18"/>
        </w:rPr>
      </w:pPr>
      <w:bookmarkStart w:id="2" w:name="_GoBack"/>
      <w:bookmarkEnd w:id="2"/>
      <w:r>
        <w:rPr>
          <w:rFonts w:cs="Times New Roman"/>
          <w:sz w:val="18"/>
          <w:szCs w:val="18"/>
          <w:lang w:val="pl-PL"/>
        </w:rPr>
        <w:t xml:space="preserve">2.3. </w:t>
        <w:tab/>
        <w:t xml:space="preserve">Informacje o przychodach, kosztach i wynikach działalności zaniechanej w roku </w:t>
        <w:tab/>
        <w:t>obrotowym lub przewidzianej do zaniechania w roku następnym: nie dotyczy jednostki.</w:t>
      </w:r>
    </w:p>
    <w:p>
      <w:pPr>
        <w:pStyle w:val="ListParagraph"/>
        <w:tabs>
          <w:tab w:val="clear" w:pos="408"/>
          <w:tab w:val="left" w:pos="993" w:leader="none"/>
        </w:tabs>
        <w:spacing w:lineRule="auto" w:line="240" w:before="0" w:after="57"/>
        <w:ind w:left="0" w:firstLine="284"/>
        <w:contextualSpacing/>
        <w:jc w:val="both"/>
        <w:rPr>
          <w:lang w:val="pl-PL"/>
        </w:rPr>
      </w:pPr>
      <w:r>
        <w:rPr>
          <w:rFonts w:cs="Times New Roman"/>
          <w:sz w:val="18"/>
          <w:szCs w:val="18"/>
          <w:lang w:val="pl-PL"/>
        </w:rPr>
        <w:t xml:space="preserve">2.4. </w:t>
        <w:tab/>
        <w:t xml:space="preserve">Rozliczenie różnicy pomiędzy podstawą opodatkowania podatkiem dochodowym                      </w:t>
        <w:tab/>
        <w:t xml:space="preserve">a </w:t>
        <w:tab/>
        <w:t xml:space="preserve">wynikiem finansowym (zyskiem, stratą) netto:  </w:t>
      </w:r>
      <w:r>
        <w:rPr>
          <w:rFonts w:cs="Times New Roman"/>
          <w:strike/>
          <w:sz w:val="18"/>
          <w:szCs w:val="18"/>
          <w:lang w:val="pl-PL"/>
        </w:rPr>
        <w:t>nie dotyczy</w:t>
      </w:r>
      <w:r>
        <w:rPr>
          <w:rFonts w:cs="Times New Roman"/>
          <w:sz w:val="18"/>
          <w:szCs w:val="18"/>
          <w:lang w:val="pl-PL"/>
        </w:rPr>
        <w:t xml:space="preserve"> / zawiera zał. nr 18*.</w:t>
      </w:r>
    </w:p>
    <w:p>
      <w:pPr>
        <w:pStyle w:val="ListParagraph"/>
        <w:tabs>
          <w:tab w:val="clear" w:pos="408"/>
          <w:tab w:val="left" w:pos="993" w:leader="none"/>
        </w:tabs>
        <w:spacing w:lineRule="auto" w:line="240" w:before="0" w:after="57"/>
        <w:ind w:left="993" w:hanging="709"/>
        <w:contextualSpacing/>
        <w:jc w:val="both"/>
        <w:rPr>
          <w:sz w:val="18"/>
          <w:szCs w:val="18"/>
        </w:rPr>
      </w:pPr>
      <w:r>
        <w:rPr>
          <w:rFonts w:cs="Times New Roman"/>
          <w:sz w:val="18"/>
          <w:szCs w:val="18"/>
          <w:lang w:val="pl-PL"/>
        </w:rPr>
        <w:t xml:space="preserve">2.5. </w:t>
        <w:tab/>
        <w:t>Koszt wytworzenia środków trwałych w budowie we własnym zakresie: nie dotyczy jednostki.</w:t>
      </w:r>
    </w:p>
    <w:p>
      <w:pPr>
        <w:pStyle w:val="ListParagraph"/>
        <w:tabs>
          <w:tab w:val="clear" w:pos="408"/>
          <w:tab w:val="left" w:pos="993" w:leader="none"/>
        </w:tabs>
        <w:spacing w:lineRule="auto" w:line="240" w:before="0" w:after="57"/>
        <w:ind w:left="0" w:firstLine="284"/>
        <w:contextualSpacing/>
        <w:jc w:val="both"/>
        <w:rPr>
          <w:lang w:val="pl-PL"/>
        </w:rPr>
      </w:pPr>
      <w:r>
        <w:rPr>
          <w:rFonts w:cs="Times New Roman"/>
          <w:sz w:val="18"/>
          <w:szCs w:val="18"/>
          <w:lang w:val="pl-PL"/>
        </w:rPr>
        <w:t xml:space="preserve">2.6. </w:t>
        <w:tab/>
        <w:t xml:space="preserve">Poniesione w ostatnim roku i planowane na następny rok nakłady na niefinansowe </w:t>
        <w:tab/>
        <w:t xml:space="preserve">aktywa trwałe; odrębnie należy wykazać poniesione i planowane nakłady na ochronę </w:t>
        <w:tab/>
        <w:t>środowiska:</w:t>
      </w:r>
      <w:r>
        <w:rPr>
          <w:rFonts w:cs="Times New Roman"/>
          <w:strike/>
          <w:sz w:val="18"/>
          <w:szCs w:val="18"/>
          <w:lang w:val="pl-PL"/>
        </w:rPr>
        <w:t xml:space="preserve"> nie dotyczy</w:t>
      </w:r>
      <w:r>
        <w:rPr>
          <w:rFonts w:cs="Times New Roman"/>
          <w:sz w:val="18"/>
          <w:szCs w:val="18"/>
          <w:lang w:val="pl-PL"/>
        </w:rPr>
        <w:t xml:space="preserve"> / zawiera zał. nr 19*.</w:t>
      </w:r>
    </w:p>
    <w:p>
      <w:pPr>
        <w:pStyle w:val="ListParagraph"/>
        <w:tabs>
          <w:tab w:val="clear" w:pos="408"/>
          <w:tab w:val="left" w:pos="993" w:leader="none"/>
        </w:tabs>
        <w:spacing w:lineRule="auto" w:line="240" w:before="0" w:after="57"/>
        <w:ind w:left="0" w:firstLine="284"/>
        <w:contextualSpacing/>
        <w:jc w:val="both"/>
        <w:rPr>
          <w:sz w:val="18"/>
          <w:szCs w:val="18"/>
        </w:rPr>
      </w:pPr>
      <w:r>
        <w:rPr>
          <w:rFonts w:cs="Times New Roman"/>
          <w:sz w:val="18"/>
          <w:szCs w:val="18"/>
          <w:lang w:val="pl-PL"/>
        </w:rPr>
        <w:t xml:space="preserve">2.7. </w:t>
        <w:tab/>
        <w:t xml:space="preserve">Kwota i charakter poszczególnych pozycji przychodów lub kosztów o nadzwyczajnej </w:t>
        <w:tab/>
        <w:t xml:space="preserve">wartości lub które wystąpiły incydentalnie: nie dotyczy / </w:t>
      </w:r>
      <w:r>
        <w:rPr>
          <w:rFonts w:cs="Times New Roman"/>
          <w:strike/>
          <w:sz w:val="18"/>
          <w:szCs w:val="18"/>
          <w:lang w:val="pl-PL"/>
        </w:rPr>
        <w:t>zawiera zał. nr 20</w:t>
      </w:r>
      <w:r>
        <w:rPr>
          <w:rFonts w:cs="Times New Roman"/>
          <w:sz w:val="18"/>
          <w:szCs w:val="18"/>
          <w:lang w:val="pl-PL"/>
        </w:rPr>
        <w:t>*.</w:t>
      </w:r>
    </w:p>
    <w:p>
      <w:pPr>
        <w:pStyle w:val="Normal"/>
        <w:spacing w:lineRule="auto" w:line="240" w:before="0" w:after="0"/>
        <w:jc w:val="both"/>
        <w:rPr>
          <w:rFonts w:ascii="Verdana" w:hAnsi="Verdana" w:cs="Times New Roman"/>
          <w:sz w:val="18"/>
          <w:szCs w:val="18"/>
          <w:lang w:val="pl-PL"/>
        </w:rPr>
      </w:pPr>
      <w:r>
        <w:rPr>
          <w:rFonts w:cs="Times New Roman" w:ascii="Verdana" w:hAnsi="Verdana"/>
          <w:sz w:val="18"/>
          <w:szCs w:val="18"/>
          <w:lang w:val="pl-PL"/>
        </w:rPr>
      </w:r>
    </w:p>
    <w:p>
      <w:pPr>
        <w:pStyle w:val="ListParagraph"/>
        <w:numPr>
          <w:ilvl w:val="0"/>
          <w:numId w:val="0"/>
        </w:numPr>
        <w:tabs>
          <w:tab w:val="clear" w:pos="408"/>
          <w:tab w:val="left" w:pos="426" w:leader="none"/>
        </w:tabs>
        <w:spacing w:lineRule="auto" w:line="240" w:before="0" w:after="0"/>
        <w:ind w:left="0" w:hanging="0"/>
        <w:contextualSpacing/>
        <w:jc w:val="both"/>
        <w:rPr>
          <w:lang w:val="pl-PL"/>
        </w:rPr>
      </w:pPr>
      <w:r>
        <w:rPr>
          <w:rFonts w:cs="Times New Roman"/>
          <w:b/>
          <w:sz w:val="18"/>
          <w:szCs w:val="18"/>
          <w:lang w:val="pl-PL"/>
        </w:rPr>
        <w:t xml:space="preserve">3. </w:t>
        <w:tab/>
        <w:t xml:space="preserve">Kursy przyjęte do wyceny pozycji sprawozdania finansowego, wyrażonych                         </w:t>
        <w:tab/>
        <w:t xml:space="preserve">w </w:t>
        <w:tab/>
        <w:t xml:space="preserve">walutach obcych: </w:t>
      </w:r>
      <w:r>
        <w:rPr>
          <w:rFonts w:cs="Times New Roman"/>
          <w:b w:val="false"/>
          <w:bCs w:val="false"/>
          <w:sz w:val="18"/>
          <w:szCs w:val="18"/>
          <w:lang w:val="pl-PL"/>
        </w:rPr>
        <w:t>nie</w:t>
      </w:r>
      <w:r>
        <w:rPr>
          <w:rFonts w:cs="Times New Roman"/>
          <w:sz w:val="18"/>
          <w:szCs w:val="18"/>
          <w:lang w:val="pl-PL"/>
        </w:rPr>
        <w:t xml:space="preserve"> dotyczy / </w:t>
      </w:r>
      <w:r>
        <w:rPr>
          <w:rFonts w:cs="Times New Roman"/>
          <w:strike/>
          <w:sz w:val="18"/>
          <w:szCs w:val="18"/>
          <w:lang w:val="pl-PL"/>
        </w:rPr>
        <w:t>zawiera zał. nr 21</w:t>
      </w:r>
      <w:r>
        <w:rPr>
          <w:rFonts w:cs="Times New Roman"/>
          <w:sz w:val="18"/>
          <w:szCs w:val="18"/>
          <w:lang w:val="pl-PL"/>
        </w:rPr>
        <w:t>*.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Verdana" w:hAnsi="Verdana" w:cs="Times New Roman"/>
          <w:b/>
          <w:b/>
          <w:sz w:val="18"/>
          <w:szCs w:val="18"/>
          <w:lang w:val="pl-PL"/>
        </w:rPr>
      </w:pPr>
      <w:r>
        <w:rPr>
          <w:rFonts w:cs="Times New Roman"/>
          <w:b/>
          <w:sz w:val="18"/>
          <w:szCs w:val="18"/>
          <w:lang w:val="pl-PL"/>
        </w:rPr>
      </w:r>
    </w:p>
    <w:p>
      <w:pPr>
        <w:pStyle w:val="ListParagraph"/>
        <w:numPr>
          <w:ilvl w:val="0"/>
          <w:numId w:val="0"/>
        </w:numPr>
        <w:tabs>
          <w:tab w:val="clear" w:pos="408"/>
          <w:tab w:val="left" w:pos="426" w:leader="none"/>
        </w:tabs>
        <w:spacing w:lineRule="auto" w:line="240" w:before="0" w:after="0"/>
        <w:ind w:left="0" w:hanging="0"/>
        <w:contextualSpacing/>
        <w:jc w:val="both"/>
        <w:rPr>
          <w:sz w:val="18"/>
          <w:szCs w:val="18"/>
        </w:rPr>
      </w:pPr>
      <w:r>
        <w:rPr>
          <w:rFonts w:cs="Times New Roman"/>
          <w:b/>
          <w:sz w:val="18"/>
          <w:szCs w:val="18"/>
          <w:lang w:val="pl-PL"/>
        </w:rPr>
        <w:t xml:space="preserve">4. </w:t>
        <w:tab/>
        <w:t xml:space="preserve">Informacje i objaśnienia do rachunku przepływów pieniężnych: </w:t>
      </w:r>
      <w:r>
        <w:rPr>
          <w:rFonts w:cs="Times New Roman"/>
          <w:b w:val="false"/>
          <w:bCs w:val="false"/>
          <w:sz w:val="18"/>
          <w:szCs w:val="18"/>
          <w:lang w:val="pl-PL"/>
        </w:rPr>
        <w:t>ni</w:t>
      </w:r>
      <w:r>
        <w:rPr>
          <w:rFonts w:cs="Times New Roman"/>
          <w:sz w:val="18"/>
          <w:szCs w:val="18"/>
          <w:lang w:val="pl-PL"/>
        </w:rPr>
        <w:t xml:space="preserve">e dotyczy / </w:t>
      </w:r>
      <w:r>
        <w:rPr>
          <w:rFonts w:cs="Times New Roman"/>
          <w:strike/>
          <w:sz w:val="18"/>
          <w:szCs w:val="18"/>
          <w:lang w:val="pl-PL"/>
        </w:rPr>
        <w:t>zawiera</w:t>
      </w:r>
      <w:r>
        <w:rPr>
          <w:rFonts w:cs="Times New Roman"/>
          <w:strike w:val="false"/>
          <w:dstrike w:val="false"/>
          <w:sz w:val="18"/>
          <w:szCs w:val="18"/>
          <w:lang w:val="pl-PL"/>
        </w:rPr>
        <w:tab/>
      </w:r>
      <w:r>
        <w:rPr>
          <w:rFonts w:cs="Times New Roman"/>
          <w:strike/>
          <w:sz w:val="18"/>
          <w:szCs w:val="18"/>
          <w:lang w:val="pl-PL"/>
        </w:rPr>
        <w:t xml:space="preserve"> zał.</w:t>
      </w:r>
      <w:r>
        <w:rPr>
          <w:rFonts w:cs="Times New Roman"/>
          <w:sz w:val="18"/>
          <w:szCs w:val="18"/>
          <w:lang w:val="pl-PL"/>
        </w:rPr>
        <w:t xml:space="preserve"> </w:t>
      </w:r>
      <w:r>
        <w:rPr>
          <w:rFonts w:cs="Times New Roman"/>
          <w:strike/>
          <w:sz w:val="18"/>
          <w:szCs w:val="18"/>
          <w:lang w:val="pl-PL"/>
        </w:rPr>
        <w:t>nr 22</w:t>
      </w:r>
      <w:r>
        <w:rPr>
          <w:rFonts w:cs="Times New Roman"/>
          <w:sz w:val="18"/>
          <w:szCs w:val="18"/>
          <w:lang w:val="pl-PL"/>
        </w:rPr>
        <w:t>*.</w:t>
      </w:r>
    </w:p>
    <w:p>
      <w:pPr>
        <w:pStyle w:val="ListParagraph"/>
        <w:spacing w:lineRule="auto" w:line="240" w:before="0" w:after="0"/>
        <w:ind w:left="0" w:hanging="0"/>
        <w:contextualSpacing/>
        <w:jc w:val="both"/>
        <w:rPr>
          <w:rFonts w:ascii="Verdana" w:hAnsi="Verdana" w:cs="Times New Roman"/>
          <w:sz w:val="18"/>
          <w:szCs w:val="18"/>
          <w:lang w:val="pl-PL"/>
        </w:rPr>
      </w:pPr>
      <w:r>
        <w:rPr>
          <w:rFonts w:cs="Times New Roman"/>
          <w:sz w:val="18"/>
          <w:szCs w:val="18"/>
          <w:lang w:val="pl-PL"/>
        </w:rPr>
      </w:r>
    </w:p>
    <w:p>
      <w:pPr>
        <w:pStyle w:val="ListParagraph"/>
        <w:numPr>
          <w:ilvl w:val="0"/>
          <w:numId w:val="0"/>
        </w:numPr>
        <w:tabs>
          <w:tab w:val="clear" w:pos="408"/>
          <w:tab w:val="left" w:pos="426" w:leader="none"/>
        </w:tabs>
        <w:spacing w:lineRule="auto" w:line="240" w:before="0" w:after="0"/>
        <w:ind w:left="0" w:hanging="0"/>
        <w:contextualSpacing/>
        <w:jc w:val="both"/>
        <w:rPr>
          <w:lang w:val="pl-PL"/>
        </w:rPr>
      </w:pPr>
      <w:r>
        <w:rPr>
          <w:rFonts w:cs="Times New Roman"/>
          <w:b/>
          <w:sz w:val="18"/>
          <w:szCs w:val="18"/>
          <w:lang w:val="pl-PL"/>
        </w:rPr>
        <w:t xml:space="preserve">5. </w:t>
        <w:tab/>
        <w:t xml:space="preserve">Umowy i istotne transakcje zawarte przez jednostkę oraz niektóre zagadnienia </w:t>
        <w:tab/>
        <w:t>osobowe</w:t>
      </w:r>
    </w:p>
    <w:p>
      <w:pPr>
        <w:pStyle w:val="ListParagraph"/>
        <w:widowControl/>
        <w:tabs>
          <w:tab w:val="clear" w:pos="408"/>
          <w:tab w:val="left" w:pos="565" w:leader="none"/>
        </w:tabs>
        <w:bidi w:val="0"/>
        <w:spacing w:lineRule="auto" w:line="240" w:before="0" w:after="57"/>
        <w:ind w:left="720" w:right="0" w:hanging="0"/>
        <w:contextualSpacing/>
        <w:jc w:val="both"/>
        <w:rPr>
          <w:lang w:val="pl-PL"/>
        </w:rPr>
      </w:pPr>
      <w:r>
        <w:rPr>
          <w:rFonts w:cs="Times New Roman"/>
          <w:sz w:val="18"/>
          <w:szCs w:val="18"/>
          <w:lang w:val="pl-PL"/>
        </w:rPr>
        <w:t xml:space="preserve">    </w:t>
      </w:r>
      <w:r>
        <w:rPr>
          <w:rFonts w:cs="Times New Roman"/>
          <w:sz w:val="18"/>
          <w:szCs w:val="18"/>
          <w:lang w:val="pl-PL"/>
        </w:rPr>
        <w:t xml:space="preserve">5.1.   Informacja o przeciętnym zatrudnieniu w roku obrotowym w podziale na grupy zawodowe </w:t>
        <w:tab/>
        <w:tab/>
        <w:t xml:space="preserve">  w przeliczeniu na pełne etaty – </w:t>
      </w:r>
      <w:r>
        <w:rPr>
          <w:rFonts w:cs="Times New Roman"/>
          <w:strike/>
          <w:sz w:val="18"/>
          <w:szCs w:val="18"/>
          <w:lang w:val="pl-PL"/>
        </w:rPr>
        <w:t>nie dotyczy</w:t>
      </w:r>
      <w:r>
        <w:rPr>
          <w:rFonts w:cs="Times New Roman"/>
          <w:sz w:val="18"/>
          <w:szCs w:val="18"/>
          <w:lang w:val="pl-PL"/>
        </w:rPr>
        <w:t xml:space="preserve"> / zawiera zał. nr 23*.</w:t>
      </w:r>
    </w:p>
    <w:p>
      <w:pPr>
        <w:pStyle w:val="ListParagraph"/>
        <w:widowControl/>
        <w:tabs>
          <w:tab w:val="clear" w:pos="408"/>
          <w:tab w:val="left" w:pos="565" w:leader="none"/>
        </w:tabs>
        <w:bidi w:val="0"/>
        <w:spacing w:lineRule="auto" w:line="240" w:before="0" w:after="0"/>
        <w:ind w:left="720" w:right="0" w:hanging="0"/>
        <w:contextualSpacing/>
        <w:jc w:val="both"/>
        <w:rPr>
          <w:lang w:val="pl-PL"/>
        </w:rPr>
      </w:pPr>
      <w:r>
        <w:rPr>
          <w:rFonts w:cs="Times New Roman"/>
          <w:sz w:val="18"/>
          <w:szCs w:val="18"/>
          <w:lang w:val="pl-PL"/>
        </w:rPr>
        <w:t xml:space="preserve">    </w:t>
      </w:r>
      <w:r>
        <w:rPr>
          <w:rFonts w:cs="Times New Roman"/>
          <w:sz w:val="18"/>
          <w:szCs w:val="18"/>
          <w:lang w:val="pl-PL"/>
        </w:rPr>
        <w:t xml:space="preserve">5.2.   Informacje o wynagrodzeniu biegłego rewidenta lub podmiotu uprawnionego  do badania </w:t>
        <w:tab/>
        <w:tab/>
        <w:t xml:space="preserve">  sprawozdań finansowych, wypłaconym lub należnym za rok obrotowy odrębnie za:</w:t>
      </w:r>
    </w:p>
    <w:p>
      <w:pPr>
        <w:pStyle w:val="ListParagraph"/>
        <w:widowControl/>
        <w:numPr>
          <w:ilvl w:val="0"/>
          <w:numId w:val="3"/>
        </w:numPr>
        <w:tabs>
          <w:tab w:val="clear" w:pos="408"/>
          <w:tab w:val="left" w:pos="1927" w:leader="none"/>
        </w:tabs>
        <w:bidi w:val="0"/>
        <w:spacing w:lineRule="auto" w:line="240" w:before="0" w:after="0"/>
        <w:ind w:left="285" w:right="0" w:firstLine="680"/>
        <w:contextualSpacing/>
        <w:jc w:val="both"/>
        <w:rPr>
          <w:lang w:val="pl-PL"/>
        </w:rPr>
      </w:pPr>
      <w:r>
        <w:rPr>
          <w:rFonts w:cs="Times New Roman"/>
          <w:sz w:val="18"/>
          <w:szCs w:val="18"/>
          <w:lang w:val="pl-PL"/>
        </w:rPr>
        <w:t>obowiązkowe badanie rocznego sprawozdania finansowego,</w:t>
      </w:r>
    </w:p>
    <w:p>
      <w:pPr>
        <w:pStyle w:val="ListParagraph"/>
        <w:widowControl/>
        <w:numPr>
          <w:ilvl w:val="0"/>
          <w:numId w:val="3"/>
        </w:numPr>
        <w:tabs>
          <w:tab w:val="clear" w:pos="408"/>
          <w:tab w:val="left" w:pos="1927" w:leader="none"/>
        </w:tabs>
        <w:bidi w:val="0"/>
        <w:spacing w:lineRule="auto" w:line="240" w:before="0" w:after="0"/>
        <w:ind w:left="285" w:right="0" w:firstLine="680"/>
        <w:contextualSpacing/>
        <w:jc w:val="both"/>
        <w:rPr>
          <w:rFonts w:ascii="Verdana" w:hAnsi="Verdana"/>
          <w:sz w:val="19"/>
          <w:szCs w:val="19"/>
        </w:rPr>
      </w:pPr>
      <w:r>
        <w:rPr>
          <w:rFonts w:cs="Times New Roman"/>
          <w:sz w:val="18"/>
          <w:szCs w:val="18"/>
          <w:lang w:val="pl-PL"/>
        </w:rPr>
        <w:t>inne usługi poświadczające,</w:t>
      </w:r>
    </w:p>
    <w:p>
      <w:pPr>
        <w:pStyle w:val="ListParagraph"/>
        <w:widowControl/>
        <w:numPr>
          <w:ilvl w:val="0"/>
          <w:numId w:val="3"/>
        </w:numPr>
        <w:tabs>
          <w:tab w:val="clear" w:pos="408"/>
          <w:tab w:val="left" w:pos="1927" w:leader="none"/>
        </w:tabs>
        <w:bidi w:val="0"/>
        <w:spacing w:lineRule="auto" w:line="240" w:before="0" w:after="0"/>
        <w:ind w:left="285" w:right="0" w:firstLine="680"/>
        <w:contextualSpacing/>
        <w:jc w:val="both"/>
        <w:rPr>
          <w:lang w:val="pl-PL"/>
        </w:rPr>
      </w:pPr>
      <w:r>
        <w:rPr>
          <w:rFonts w:cs="Times New Roman"/>
          <w:sz w:val="18"/>
          <w:szCs w:val="18"/>
          <w:lang w:val="pl-PL"/>
        </w:rPr>
        <w:t>usługi doradztwa podatkowego,</w:t>
      </w:r>
    </w:p>
    <w:p>
      <w:pPr>
        <w:pStyle w:val="ListParagraph"/>
        <w:widowControl/>
        <w:numPr>
          <w:ilvl w:val="0"/>
          <w:numId w:val="3"/>
        </w:numPr>
        <w:tabs>
          <w:tab w:val="clear" w:pos="408"/>
          <w:tab w:val="left" w:pos="1927" w:leader="none"/>
        </w:tabs>
        <w:bidi w:val="0"/>
        <w:spacing w:lineRule="auto" w:line="240" w:before="0" w:after="0"/>
        <w:ind w:left="285" w:right="0" w:firstLine="680"/>
        <w:contextualSpacing/>
        <w:jc w:val="both"/>
        <w:rPr>
          <w:sz w:val="18"/>
          <w:szCs w:val="18"/>
        </w:rPr>
      </w:pPr>
      <w:r>
        <w:rPr>
          <w:rFonts w:cs="Times New Roman"/>
          <w:sz w:val="18"/>
          <w:szCs w:val="18"/>
          <w:lang w:val="pl-PL"/>
        </w:rPr>
        <w:t>pozostałe usługi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720" w:hanging="0"/>
        <w:contextualSpacing/>
        <w:jc w:val="both"/>
        <w:rPr>
          <w:lang w:val="pl-PL"/>
        </w:rPr>
      </w:pPr>
      <w:r>
        <w:rPr>
          <w:rFonts w:cs="Times New Roman"/>
          <w:sz w:val="18"/>
          <w:szCs w:val="18"/>
          <w:lang w:val="pl-PL"/>
        </w:rPr>
        <w:t xml:space="preserve">nie dotyczy / </w:t>
      </w:r>
      <w:r>
        <w:rPr>
          <w:rFonts w:cs="Times New Roman"/>
          <w:strike/>
          <w:sz w:val="18"/>
          <w:szCs w:val="18"/>
          <w:lang w:val="pl-PL"/>
        </w:rPr>
        <w:t>zawiera zał. nr 23a</w:t>
      </w:r>
      <w:r>
        <w:rPr>
          <w:rFonts w:cs="Times New Roman"/>
          <w:sz w:val="18"/>
          <w:szCs w:val="18"/>
          <w:lang w:val="pl-PL"/>
        </w:rPr>
        <w:t>*</w:t>
      </w:r>
    </w:p>
    <w:p>
      <w:pPr>
        <w:pStyle w:val="ListParagraph"/>
        <w:spacing w:lineRule="auto" w:line="240" w:before="0" w:after="0"/>
        <w:ind w:left="0" w:firstLine="993"/>
        <w:contextualSpacing/>
        <w:jc w:val="both"/>
        <w:rPr>
          <w:rFonts w:ascii="Verdana" w:hAnsi="Verdana" w:cs="Times New Roman"/>
          <w:sz w:val="18"/>
          <w:szCs w:val="18"/>
          <w:lang w:val="pl-PL"/>
        </w:rPr>
      </w:pPr>
      <w:r>
        <w:rPr>
          <w:rFonts w:cs="Times New Roman"/>
          <w:sz w:val="18"/>
          <w:szCs w:val="18"/>
          <w:lang w:val="pl-PL"/>
        </w:rPr>
      </w:r>
    </w:p>
    <w:p>
      <w:pPr>
        <w:pStyle w:val="ListParagraph"/>
        <w:numPr>
          <w:ilvl w:val="0"/>
          <w:numId w:val="0"/>
        </w:numPr>
        <w:tabs>
          <w:tab w:val="clear" w:pos="408"/>
          <w:tab w:val="left" w:pos="426" w:leader="none"/>
        </w:tabs>
        <w:spacing w:lineRule="auto" w:line="240" w:before="0" w:after="57"/>
        <w:ind w:left="0" w:hanging="0"/>
        <w:contextualSpacing/>
        <w:jc w:val="both"/>
        <w:rPr>
          <w:sz w:val="18"/>
          <w:szCs w:val="18"/>
        </w:rPr>
      </w:pPr>
      <w:r>
        <w:rPr>
          <w:rFonts w:cs="Times New Roman"/>
          <w:b/>
          <w:bCs/>
          <w:sz w:val="18"/>
          <w:szCs w:val="18"/>
          <w:lang w:val="pl-PL"/>
        </w:rPr>
        <w:t>6.</w:t>
      </w:r>
      <w:r>
        <w:rPr>
          <w:rFonts w:cs="Times New Roman"/>
          <w:b/>
          <w:sz w:val="18"/>
          <w:szCs w:val="18"/>
          <w:lang w:val="pl-PL"/>
        </w:rPr>
        <w:tab/>
        <w:t xml:space="preserve">Błędy lat ubiegłych, zdarzenia po dniu bilansowym oraz zmiany polityki </w:t>
        <w:tab/>
        <w:t>rachunkowości</w:t>
      </w:r>
    </w:p>
    <w:p>
      <w:pPr>
        <w:pStyle w:val="ListParagraph"/>
        <w:tabs>
          <w:tab w:val="clear" w:pos="408"/>
          <w:tab w:val="left" w:pos="709" w:leader="none"/>
        </w:tabs>
        <w:spacing w:lineRule="auto" w:line="240" w:before="0" w:after="57"/>
        <w:ind w:left="993" w:hanging="709"/>
        <w:contextualSpacing/>
        <w:jc w:val="both"/>
        <w:rPr>
          <w:lang w:val="pl-PL"/>
        </w:rPr>
      </w:pPr>
      <w:r>
        <w:rPr>
          <w:rFonts w:cs="Times New Roman"/>
          <w:sz w:val="18"/>
          <w:szCs w:val="18"/>
          <w:lang w:val="pl-PL"/>
        </w:rPr>
        <w:t>6.1.</w:t>
        <w:tab/>
        <w:tab/>
        <w:t xml:space="preserve">Informacje o przychodach i kosztach z tytułu błędów popełnionych w latach ubiegłych odnoszonych w roku obrotowym na fundusz własny z podaniem ich kwot i rodzaju: </w:t>
      </w:r>
      <w:r>
        <w:rPr>
          <w:rFonts w:cs="Times New Roman"/>
          <w:strike w:val="false"/>
          <w:dstrike w:val="false"/>
          <w:sz w:val="18"/>
          <w:szCs w:val="18"/>
          <w:lang w:val="pl-PL"/>
        </w:rPr>
        <w:t xml:space="preserve">nie dotyczy / </w:t>
      </w:r>
      <w:r>
        <w:rPr>
          <w:rFonts w:cs="Times New Roman"/>
          <w:strike/>
          <w:sz w:val="18"/>
          <w:szCs w:val="18"/>
          <w:lang w:val="pl-PL"/>
        </w:rPr>
        <w:t>zawiera zał. nr 24</w:t>
      </w:r>
      <w:r>
        <w:rPr>
          <w:rFonts w:cs="Times New Roman"/>
          <w:strike w:val="false"/>
          <w:dstrike w:val="false"/>
          <w:sz w:val="18"/>
          <w:szCs w:val="18"/>
          <w:lang w:val="pl-PL"/>
        </w:rPr>
        <w:t>*</w:t>
      </w:r>
    </w:p>
    <w:p>
      <w:pPr>
        <w:pStyle w:val="ListParagraph"/>
        <w:tabs>
          <w:tab w:val="clear" w:pos="408"/>
          <w:tab w:val="left" w:pos="993" w:leader="none"/>
        </w:tabs>
        <w:spacing w:lineRule="auto" w:line="240" w:before="0" w:after="57"/>
        <w:ind w:left="993" w:hanging="709"/>
        <w:contextualSpacing/>
        <w:jc w:val="both"/>
        <w:rPr>
          <w:lang w:val="pl-PL"/>
        </w:rPr>
      </w:pPr>
      <w:r>
        <w:rPr>
          <w:rFonts w:cs="Times New Roman"/>
          <w:sz w:val="18"/>
          <w:szCs w:val="18"/>
          <w:lang w:val="pl-PL"/>
        </w:rPr>
        <w:t>6.2.</w:t>
        <w:tab/>
        <w:t xml:space="preserve">Informacje o istotnych zdarzeniach, jakie nastąpiły po dniu bilansowym,                                    a nieuwzględnionych w sprawozdaniu finansowym oraz o ich wpływie na sytuację majątkową, finansową oraz wynik finansowy jednostki – nie dotyczy / </w:t>
      </w:r>
      <w:r>
        <w:rPr>
          <w:rFonts w:cs="Times New Roman"/>
          <w:strike/>
          <w:sz w:val="18"/>
          <w:szCs w:val="18"/>
          <w:lang w:val="pl-PL"/>
        </w:rPr>
        <w:t>lub opis</w:t>
      </w:r>
      <w:r>
        <w:rPr>
          <w:rFonts w:cs="Times New Roman"/>
          <w:sz w:val="18"/>
          <w:szCs w:val="18"/>
          <w:lang w:val="pl-PL"/>
        </w:rPr>
        <w:t>*.</w:t>
      </w:r>
    </w:p>
    <w:p>
      <w:pPr>
        <w:pStyle w:val="ListParagraph"/>
        <w:tabs>
          <w:tab w:val="clear" w:pos="408"/>
          <w:tab w:val="left" w:pos="993" w:leader="none"/>
        </w:tabs>
        <w:spacing w:lineRule="auto" w:line="240" w:before="0" w:after="113"/>
        <w:ind w:left="993" w:hanging="709"/>
        <w:contextualSpacing/>
        <w:jc w:val="both"/>
        <w:rPr>
          <w:lang w:val="pl-PL"/>
        </w:rPr>
      </w:pPr>
      <w:r>
        <w:rPr>
          <w:rFonts w:cs="Times New Roman"/>
          <w:sz w:val="18"/>
          <w:szCs w:val="18"/>
          <w:lang w:val="pl-PL"/>
        </w:rPr>
        <w:t>6.3.</w:t>
        <w:tab/>
        <w:t>Przedstawienie dokonanych w roku obrotowym zmian zasad (polityki) rachunkowości,                w tym metod wyceny, jeżeli wywierają one istotny wpływ na sytuację majątkową, finansową i wynik finansowy jednostki, ich przyczyny i spowodowaną zmianami kwotę wyniku finansowego oraz zmian w kapitale (funduszu) własnym, oraz przedstawienie zmiany sposobu spo</w:t>
      </w:r>
      <w:r>
        <w:rPr>
          <w:rFonts w:cs="Times New Roman"/>
          <w:strike w:val="false"/>
          <w:dstrike w:val="false"/>
          <w:sz w:val="18"/>
          <w:szCs w:val="18"/>
          <w:lang w:val="pl-PL"/>
        </w:rPr>
        <w:t xml:space="preserve">rządzania sprawozdania finansowego wraz z podaniem jej przyczyny: nie dotyczy / </w:t>
      </w:r>
      <w:r>
        <w:rPr>
          <w:rFonts w:cs="Times New Roman"/>
          <w:strike/>
          <w:sz w:val="18"/>
          <w:szCs w:val="18"/>
          <w:lang w:val="pl-PL"/>
        </w:rPr>
        <w:t>opis*</w:t>
      </w:r>
    </w:p>
    <w:p>
      <w:pPr>
        <w:pStyle w:val="ListParagraph"/>
        <w:numPr>
          <w:ilvl w:val="0"/>
          <w:numId w:val="0"/>
        </w:numPr>
        <w:tabs>
          <w:tab w:val="clear" w:pos="408"/>
          <w:tab w:val="left" w:pos="335" w:leader="none"/>
        </w:tabs>
        <w:spacing w:lineRule="auto" w:line="240" w:before="0" w:after="113"/>
        <w:ind w:left="0" w:hanging="0"/>
        <w:contextualSpacing/>
        <w:jc w:val="both"/>
        <w:rPr>
          <w:lang w:val="pl-PL"/>
        </w:rPr>
      </w:pPr>
      <w:r>
        <w:rPr>
          <w:rFonts w:cs="Times New Roman"/>
          <w:b/>
          <w:sz w:val="18"/>
          <w:szCs w:val="18"/>
          <w:lang w:val="pl-PL"/>
        </w:rPr>
        <w:t xml:space="preserve">7. Transakcje z jednostkami powiązanymi i zagadnienia dotyczące konsolidacji – </w:t>
      </w:r>
      <w:r>
        <w:rPr>
          <w:rFonts w:cs="Times New Roman"/>
          <w:sz w:val="18"/>
          <w:szCs w:val="18"/>
          <w:lang w:val="pl-PL"/>
        </w:rPr>
        <w:t xml:space="preserve">nie </w:t>
        <w:tab/>
        <w:t>dotyczą jednostki</w:t>
      </w:r>
    </w:p>
    <w:p>
      <w:pPr>
        <w:pStyle w:val="ListParagraph"/>
        <w:numPr>
          <w:ilvl w:val="0"/>
          <w:numId w:val="0"/>
        </w:numPr>
        <w:tabs>
          <w:tab w:val="clear" w:pos="408"/>
          <w:tab w:val="left" w:pos="173" w:leader="none"/>
          <w:tab w:val="left" w:pos="392" w:leader="none"/>
          <w:tab w:val="left" w:pos="426" w:leader="none"/>
          <w:tab w:val="left" w:pos="623" w:leader="none"/>
        </w:tabs>
        <w:spacing w:lineRule="auto" w:line="240" w:before="0" w:after="113"/>
        <w:ind w:left="0" w:hanging="0"/>
        <w:contextualSpacing/>
        <w:jc w:val="both"/>
        <w:rPr>
          <w:sz w:val="18"/>
          <w:szCs w:val="18"/>
        </w:rPr>
      </w:pPr>
      <w:r>
        <w:rPr>
          <w:rFonts w:cs="Times New Roman"/>
          <w:b/>
          <w:sz w:val="18"/>
          <w:szCs w:val="18"/>
          <w:lang w:val="pl-PL"/>
        </w:rPr>
        <w:t xml:space="preserve">8.   Zagrożenia dla kontynuowania działalności:  </w:t>
      </w:r>
      <w:r>
        <w:rPr>
          <w:rFonts w:cs="Times New Roman"/>
          <w:sz w:val="18"/>
          <w:szCs w:val="18"/>
          <w:lang w:val="pl-PL"/>
        </w:rPr>
        <w:t xml:space="preserve">nie dotyczy / </w:t>
      </w:r>
      <w:r>
        <w:rPr>
          <w:rFonts w:cs="Times New Roman"/>
          <w:strike/>
          <w:sz w:val="18"/>
          <w:szCs w:val="18"/>
          <w:lang w:val="pl-PL"/>
        </w:rPr>
        <w:t>lub opis</w:t>
      </w:r>
      <w:r>
        <w:rPr>
          <w:rFonts w:cs="Times New Roman"/>
          <w:sz w:val="18"/>
          <w:szCs w:val="18"/>
          <w:lang w:val="pl-PL"/>
        </w:rPr>
        <w:t>*</w:t>
      </w:r>
    </w:p>
    <w:p>
      <w:pPr>
        <w:pStyle w:val="ListParagraph"/>
        <w:numPr>
          <w:ilvl w:val="0"/>
          <w:numId w:val="0"/>
        </w:numPr>
        <w:tabs>
          <w:tab w:val="clear" w:pos="408"/>
          <w:tab w:val="left" w:pos="392" w:leader="none"/>
        </w:tabs>
        <w:spacing w:lineRule="auto" w:line="240" w:before="0" w:after="0"/>
        <w:ind w:left="0" w:hanging="0"/>
        <w:contextualSpacing/>
        <w:jc w:val="both"/>
        <w:rPr>
          <w:lang w:val="pl-PL"/>
        </w:rPr>
      </w:pPr>
      <w:r>
        <w:rPr>
          <w:rFonts w:cs="Times New Roman"/>
          <w:b/>
          <w:sz w:val="18"/>
          <w:szCs w:val="18"/>
          <w:lang w:val="pl-PL"/>
        </w:rPr>
        <w:t>9.  Pozostałe informacje i objaśnienia,</w:t>
      </w:r>
      <w:r>
        <w:rPr>
          <w:rFonts w:cs="Times New Roman"/>
          <w:b/>
          <w:bCs/>
          <w:sz w:val="18"/>
          <w:szCs w:val="18"/>
          <w:lang w:val="pl-PL"/>
        </w:rPr>
        <w:t xml:space="preserve"> które mogą wpłynąć w sposób istotny na ocenę </w:t>
        <w:tab/>
        <w:t>sytuacji majątkowej, finansowej oraz wynik finansowy jednostki: brak.</w:t>
      </w:r>
    </w:p>
    <w:p>
      <w:pPr>
        <w:pStyle w:val="ListParagraph"/>
        <w:numPr>
          <w:ilvl w:val="0"/>
          <w:numId w:val="0"/>
        </w:numPr>
        <w:tabs>
          <w:tab w:val="clear" w:pos="408"/>
          <w:tab w:val="left" w:pos="426" w:leader="none"/>
        </w:tabs>
        <w:spacing w:lineRule="auto" w:line="240" w:before="0" w:after="0"/>
        <w:ind w:left="0" w:hanging="0"/>
        <w:contextualSpacing/>
        <w:jc w:val="both"/>
        <w:rPr>
          <w:rFonts w:cs="Times New Roman"/>
          <w:b/>
          <w:b/>
          <w:bCs/>
          <w:sz w:val="18"/>
          <w:szCs w:val="18"/>
          <w:lang w:val="pl-PL"/>
        </w:rPr>
      </w:pPr>
      <w:r>
        <w:rPr>
          <w:rFonts w:cs="Times New Roman"/>
          <w:b/>
          <w:bCs/>
          <w:sz w:val="18"/>
          <w:szCs w:val="18"/>
          <w:lang w:val="pl-PL"/>
        </w:rPr>
      </w:r>
    </w:p>
    <w:p>
      <w:pPr>
        <w:pStyle w:val="ListParagraph"/>
        <w:tabs>
          <w:tab w:val="clear" w:pos="408"/>
          <w:tab w:val="left" w:pos="993" w:leader="none"/>
        </w:tabs>
        <w:spacing w:lineRule="auto" w:line="240" w:before="0" w:after="0"/>
        <w:ind w:left="720" w:hanging="0"/>
        <w:contextualSpacing/>
        <w:jc w:val="both"/>
        <w:rPr>
          <w:rFonts w:ascii="Verdana" w:hAnsi="Verdana" w:cs="Times New Roman"/>
          <w:b/>
          <w:b/>
          <w:sz w:val="18"/>
          <w:szCs w:val="18"/>
          <w:lang w:val="pl-PL"/>
        </w:rPr>
      </w:pPr>
      <w:r>
        <w:rPr>
          <w:rFonts w:cs="Times New Roman"/>
          <w:b/>
          <w:sz w:val="18"/>
          <w:szCs w:val="18"/>
          <w:lang w:val="pl-PL"/>
        </w:rPr>
      </w:r>
    </w:p>
    <w:p>
      <w:pPr>
        <w:pStyle w:val="ListParagraph"/>
        <w:tabs>
          <w:tab w:val="clear" w:pos="408"/>
          <w:tab w:val="left" w:pos="993" w:leader="none"/>
        </w:tabs>
        <w:spacing w:lineRule="auto" w:line="240" w:before="0" w:after="0"/>
        <w:ind w:left="720" w:hanging="0"/>
        <w:contextualSpacing/>
        <w:jc w:val="both"/>
        <w:rPr>
          <w:rFonts w:ascii="Verdana" w:hAnsi="Verdana" w:cs="Times New Roman"/>
          <w:b/>
          <w:b/>
          <w:sz w:val="16"/>
          <w:szCs w:val="16"/>
          <w:lang w:val="pl-PL"/>
        </w:rPr>
      </w:pPr>
      <w:r>
        <w:rPr>
          <w:rFonts w:cs="Times New Roman"/>
          <w:b/>
          <w:sz w:val="16"/>
          <w:szCs w:val="16"/>
          <w:lang w:val="pl-PL"/>
        </w:rPr>
      </w:r>
    </w:p>
    <w:p>
      <w:pPr>
        <w:pStyle w:val="ListParagraph"/>
        <w:tabs>
          <w:tab w:val="clear" w:pos="408"/>
          <w:tab w:val="left" w:pos="993" w:leader="none"/>
        </w:tabs>
        <w:spacing w:lineRule="auto" w:line="240" w:before="0" w:after="0"/>
        <w:ind w:left="720" w:hanging="0"/>
        <w:contextualSpacing/>
        <w:jc w:val="both"/>
        <w:rPr>
          <w:sz w:val="14"/>
          <w:szCs w:val="14"/>
        </w:rPr>
      </w:pPr>
      <w:r>
        <w:rPr>
          <w:rFonts w:cs="Times New Roman"/>
          <w:b w:val="false"/>
          <w:bCs w:val="false"/>
          <w:sz w:val="14"/>
          <w:szCs w:val="14"/>
          <w:lang w:val="pl-PL"/>
        </w:rPr>
        <w:t>* niepotrzebne skreślić</w:t>
      </w:r>
    </w:p>
    <w:p>
      <w:pPr>
        <w:pStyle w:val="Normal"/>
        <w:spacing w:lineRule="auto" w:line="240" w:before="0" w:after="0"/>
        <w:jc w:val="both"/>
        <w:rPr>
          <w:rFonts w:ascii="Verdana" w:hAnsi="Verdana" w:cs="Times New Roman"/>
          <w:sz w:val="18"/>
          <w:szCs w:val="18"/>
          <w:lang w:val="pl-PL"/>
        </w:rPr>
      </w:pPr>
      <w:r>
        <w:rPr>
          <w:rFonts w:cs="Times New Roman" w:ascii="Verdana" w:hAnsi="Verdana"/>
          <w:sz w:val="18"/>
          <w:szCs w:val="18"/>
          <w:lang w:val="pl-PL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 w:cs="Times New Roman"/>
          <w:sz w:val="18"/>
          <w:szCs w:val="18"/>
          <w:lang w:val="pl-PL"/>
        </w:rPr>
      </w:pPr>
      <w:r>
        <w:rPr>
          <w:rFonts w:cs="Times New Roman" w:ascii="Verdana" w:hAnsi="Verdana"/>
          <w:sz w:val="18"/>
          <w:szCs w:val="18"/>
          <w:lang w:val="pl-PL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 w:cs="Times New Roman"/>
          <w:sz w:val="18"/>
          <w:szCs w:val="18"/>
          <w:lang w:val="pl-PL"/>
        </w:rPr>
      </w:pPr>
      <w:r>
        <w:rPr>
          <w:rFonts w:cs="Times New Roman" w:ascii="Verdana" w:hAnsi="Verdana"/>
          <w:sz w:val="18"/>
          <w:szCs w:val="18"/>
          <w:lang w:val="pl-PL"/>
        </w:rPr>
      </w:r>
    </w:p>
    <w:p>
      <w:pPr>
        <w:pStyle w:val="Normal"/>
        <w:spacing w:lineRule="auto" w:line="240" w:before="0" w:after="0"/>
        <w:jc w:val="both"/>
        <w:rPr>
          <w:lang w:val="pl-PL"/>
        </w:rPr>
      </w:pPr>
      <w:r>
        <w:rPr>
          <w:rFonts w:cs="Times New Roman" w:ascii="Verdana" w:hAnsi="Verdana"/>
          <w:sz w:val="18"/>
          <w:szCs w:val="18"/>
          <w:lang w:val="pl-PL"/>
        </w:rPr>
        <w:t>M</w:t>
      </w:r>
      <w:r>
        <w:rPr>
          <w:rFonts w:cs="Times New Roman" w:ascii="Verdana" w:hAnsi="Verdana"/>
          <w:sz w:val="18"/>
          <w:szCs w:val="18"/>
          <w:lang w:val="pl-PL"/>
        </w:rPr>
        <w:t xml:space="preserve">iejsce </w:t>
      </w:r>
      <w:r>
        <w:rPr>
          <w:rFonts w:cs="Times New Roman" w:ascii="Verdana" w:hAnsi="Verdana"/>
          <w:sz w:val="18"/>
          <w:szCs w:val="18"/>
          <w:lang w:val="pl-PL"/>
        </w:rPr>
        <w:t>data</w:t>
      </w:r>
      <w:r>
        <w:rPr>
          <w:rFonts w:cs="Times New Roman" w:ascii="Verdana" w:hAnsi="Verdana"/>
          <w:sz w:val="18"/>
          <w:szCs w:val="18"/>
          <w:lang w:val="pl-PL"/>
        </w:rPr>
        <w:t xml:space="preserve"> </w:t>
      </w:r>
      <w:r>
        <w:rPr>
          <w:rFonts w:cs="Times New Roman" w:ascii="Verdana" w:hAnsi="Verdana"/>
          <w:sz w:val="18"/>
          <w:szCs w:val="18"/>
          <w:lang w:val="pl-PL"/>
        </w:rPr>
        <w:t>sporządzenia</w:t>
      </w:r>
      <w:r>
        <w:rPr>
          <w:rFonts w:cs="Times New Roman" w:ascii="Verdana" w:hAnsi="Verdana"/>
          <w:sz w:val="18"/>
          <w:szCs w:val="18"/>
          <w:lang w:val="pl-PL"/>
        </w:rPr>
        <w:t xml:space="preserve">:   </w:t>
      </w:r>
      <w:r>
        <w:rPr>
          <w:rFonts w:cs="Times New Roman" w:ascii="Verdana" w:hAnsi="Verdana"/>
          <w:b/>
          <w:bCs/>
          <w:sz w:val="18"/>
          <w:szCs w:val="18"/>
          <w:lang w:val="pl-PL"/>
        </w:rPr>
        <w:t>Lubin, 18.03.2022 r.</w:t>
      </w:r>
    </w:p>
    <w:p>
      <w:pPr>
        <w:pStyle w:val="Normal"/>
        <w:spacing w:lineRule="auto" w:line="240" w:before="0" w:after="0"/>
        <w:jc w:val="both"/>
        <w:rPr>
          <w:rFonts w:ascii="Verdana" w:hAnsi="Verdana" w:cs="Times New Roman"/>
          <w:sz w:val="18"/>
          <w:szCs w:val="18"/>
          <w:lang w:val="pl-PL"/>
        </w:rPr>
      </w:pPr>
      <w:r>
        <w:rPr>
          <w:rFonts w:cs="Times New Roman" w:ascii="Verdana" w:hAnsi="Verdana"/>
          <w:sz w:val="18"/>
          <w:szCs w:val="18"/>
          <w:lang w:val="pl-PL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 w:cs="Times New Roman"/>
          <w:sz w:val="18"/>
          <w:szCs w:val="18"/>
          <w:lang w:val="pl-PL"/>
        </w:rPr>
      </w:pPr>
      <w:r>
        <w:rPr>
          <w:rFonts w:cs="Times New Roman" w:ascii="Verdana" w:hAnsi="Verdana"/>
          <w:sz w:val="18"/>
          <w:szCs w:val="18"/>
          <w:lang w:val="pl-PL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 w:cs="Times New Roman"/>
          <w:sz w:val="18"/>
          <w:szCs w:val="18"/>
          <w:lang w:val="pl-PL"/>
        </w:rPr>
      </w:pPr>
      <w:r>
        <w:rPr>
          <w:rFonts w:cs="Times New Roman" w:ascii="Verdana" w:hAnsi="Verdana"/>
          <w:sz w:val="18"/>
          <w:szCs w:val="18"/>
          <w:lang w:val="pl-PL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 w:cs="Times New Roman"/>
          <w:sz w:val="18"/>
          <w:szCs w:val="18"/>
          <w:lang w:val="pl-PL"/>
        </w:rPr>
      </w:pPr>
      <w:r>
        <w:rPr>
          <w:rFonts w:cs="Times New Roman" w:ascii="Verdana" w:hAnsi="Verdana"/>
          <w:sz w:val="18"/>
          <w:szCs w:val="18"/>
          <w:lang w:val="pl-PL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/>
        </w:rPr>
      </w:pPr>
      <w:r>
        <w:rPr>
          <w:rFonts w:cs="Times New Roman" w:ascii="Verdana" w:hAnsi="Verdana"/>
          <w:sz w:val="18"/>
          <w:szCs w:val="18"/>
          <w:lang w:val="pl-PL"/>
        </w:rPr>
        <w:t xml:space="preserve">Sporządził:    </w:t>
        <w:tab/>
        <w:tab/>
        <w:tab/>
        <w:tab/>
        <w:tab/>
        <w:tab/>
        <w:tab/>
        <w:tab/>
        <w:t>Zatwierdził:</w:t>
      </w:r>
    </w:p>
    <w:p>
      <w:pPr>
        <w:pStyle w:val="Normal"/>
        <w:spacing w:lineRule="auto" w:line="240" w:before="0" w:after="0"/>
        <w:jc w:val="both"/>
        <w:rPr>
          <w:rFonts w:ascii="Verdana" w:hAnsi="Verdana" w:cs="Times New Roman"/>
          <w:sz w:val="18"/>
          <w:szCs w:val="18"/>
          <w:lang w:val="pl-PL"/>
        </w:rPr>
      </w:pPr>
      <w:r>
        <w:rPr>
          <w:rFonts w:cs="Times New Roman" w:ascii="Verdana" w:hAnsi="Verdana"/>
          <w:b/>
          <w:bCs/>
          <w:sz w:val="18"/>
          <w:szCs w:val="18"/>
          <w:lang w:val="pl-PL"/>
        </w:rPr>
        <w:t>Główna Księgowa</w:t>
        <w:tab/>
        <w:tab/>
        <w:tab/>
        <w:tab/>
        <w:tab/>
        <w:tab/>
        <w:tab/>
        <w:t>Dyrektor</w:t>
      </w:r>
    </w:p>
    <w:p>
      <w:pPr>
        <w:pStyle w:val="Normal"/>
        <w:spacing w:lineRule="auto" w:line="240" w:before="0" w:after="0"/>
        <w:jc w:val="both"/>
        <w:rPr>
          <w:rFonts w:ascii="Verdana" w:hAnsi="Verdana" w:cs="Times New Roman"/>
          <w:b/>
          <w:b/>
          <w:bCs/>
          <w:sz w:val="18"/>
          <w:szCs w:val="18"/>
          <w:lang w:val="pl-PL"/>
        </w:rPr>
      </w:pPr>
      <w:r>
        <w:rPr>
          <w:rFonts w:cs="Times New Roman" w:ascii="Verdana" w:hAnsi="Verdana"/>
          <w:b/>
          <w:bCs/>
          <w:sz w:val="18"/>
          <w:szCs w:val="18"/>
          <w:lang w:val="pl-PL"/>
        </w:rPr>
        <w:t>Justyna Starybrat</w:t>
        <w:tab/>
        <w:tab/>
        <w:tab/>
        <w:tab/>
        <w:tab/>
        <w:tab/>
        <w:tab/>
        <w:t>Konrad Dąbkiewicz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Verdana" w:hAnsi="Verdana"/>
          <w:sz w:val="18"/>
          <w:szCs w:val="18"/>
          <w:lang w:val="pl-PL"/>
        </w:rPr>
        <w:t xml:space="preserve">                </w:t>
      </w:r>
      <w:r>
        <w:rPr>
          <w:rFonts w:cs="Times New Roman" w:ascii="Verdana" w:hAnsi="Verdana"/>
          <w:sz w:val="18"/>
          <w:szCs w:val="18"/>
          <w:lang w:val="pl-PL"/>
        </w:rPr>
        <w:tab/>
        <w:tab/>
        <w:tab/>
        <w:tab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Verdan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8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3">
    <w:lvl w:ilvl="0">
      <w:start w:val="1"/>
      <w:numFmt w:val="lowerLetter"/>
      <w:lvlText w:val="%1)"/>
      <w:lvlJc w:val="left"/>
      <w:pPr>
        <w:tabs>
          <w:tab w:val="num" w:pos="0"/>
        </w:tabs>
        <w:ind w:left="28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0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7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4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1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8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045" w:hanging="180"/>
      </w:p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4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b1950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semiHidden/>
    <w:qFormat/>
    <w:rsid w:val="009143c6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9143c6"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36f88"/>
    <w:pPr>
      <w:spacing w:before="0" w:after="200"/>
      <w:ind w:left="720" w:hanging="0"/>
      <w:contextualSpacing/>
    </w:pPr>
    <w:rPr>
      <w:rFonts w:ascii="Verdana" w:hAnsi="Verdana"/>
      <w:sz w:val="18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semiHidden/>
    <w:unhideWhenUsed/>
    <w:rsid w:val="009143c6"/>
    <w:pPr>
      <w:tabs>
        <w:tab w:val="clear" w:pos="4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9143c6"/>
    <w:pPr>
      <w:tabs>
        <w:tab w:val="clear" w:pos="4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852</TotalTime>
  <Application>LibreOffice/7.1.2.2$Windows_X86_64 LibreOffice_project/8a45595d069ef5570103caea1b71cc9d82b2aae4</Application>
  <AppVersion>15.0000</AppVersion>
  <Pages>2</Pages>
  <Words>818</Words>
  <Characters>5000</Characters>
  <CharactersWithSpaces>5996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2015-12-19T12:29:00Z</dcterms:created>
  <dc:creator>Ula</dc:creator>
  <dc:description/>
  <dc:language>pl-PL</dc:language>
  <cp:lastModifiedBy/>
  <cp:lastPrinted>2022-03-29T13:59:47Z</cp:lastPrinted>
  <dcterms:modified xsi:type="dcterms:W3CDTF">2022-06-23T11:04:26Z</dcterms:modified>
  <cp:revision>99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